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E2751" w14:textId="45361B9A" w:rsidR="008E642A" w:rsidRPr="00A14FC2" w:rsidRDefault="00477336" w:rsidP="00477336">
      <w:pPr>
        <w:widowControl w:val="0"/>
        <w:ind w:left="851" w:right="-1001"/>
        <w:rPr>
          <w:rFonts w:ascii="Gill Sans MT" w:eastAsia="Times New Roman" w:hAnsi="Gill Sans MT" w:cs="Arial"/>
          <w:color w:val="1D3A4D"/>
          <w:sz w:val="104"/>
          <w:szCs w:val="104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F26E43D" wp14:editId="00CFFA68">
            <wp:simplePos x="0" y="0"/>
            <wp:positionH relativeFrom="column">
              <wp:posOffset>818249</wp:posOffset>
            </wp:positionH>
            <wp:positionV relativeFrom="paragraph">
              <wp:posOffset>415489</wp:posOffset>
            </wp:positionV>
            <wp:extent cx="1952625" cy="504825"/>
            <wp:effectExtent l="0" t="0" r="9525" b="952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730BB" w14:textId="64C719D0" w:rsidR="00766504" w:rsidRPr="00034C22" w:rsidRDefault="00763671" w:rsidP="00523D89">
      <w:pPr>
        <w:widowControl w:val="0"/>
        <w:ind w:left="2127" w:right="-1001"/>
        <w:rPr>
          <w:rFonts w:ascii="Gill Sans MT" w:eastAsia="Times New Roman" w:hAnsi="Gill Sans MT" w:cs="Arial"/>
          <w:color w:val="1D3A4D"/>
          <w:sz w:val="96"/>
          <w:szCs w:val="104"/>
        </w:rPr>
      </w:pPr>
      <w:r w:rsidRPr="00034C22">
        <w:rPr>
          <w:rFonts w:ascii="Gill Sans MT" w:eastAsia="Times New Roman" w:hAnsi="Gill Sans MT" w:cs="Arial"/>
          <w:color w:val="1D3A4D"/>
          <w:sz w:val="96"/>
          <w:szCs w:val="104"/>
        </w:rPr>
        <w:t xml:space="preserve">Politiche </w:t>
      </w:r>
      <w:r w:rsidR="00034C22">
        <w:rPr>
          <w:rFonts w:ascii="Gill Sans MT" w:eastAsia="Times New Roman" w:hAnsi="Gill Sans MT" w:cs="Arial"/>
          <w:color w:val="1D3A4D"/>
          <w:sz w:val="96"/>
          <w:szCs w:val="104"/>
        </w:rPr>
        <w:br/>
      </w:r>
      <w:r w:rsidR="00034C22" w:rsidRPr="00034C22">
        <w:rPr>
          <w:rFonts w:ascii="Gill Sans MT" w:eastAsia="Times New Roman" w:hAnsi="Gill Sans MT" w:cs="Arial"/>
          <w:color w:val="1D3A4D"/>
          <w:sz w:val="96"/>
          <w:szCs w:val="104"/>
        </w:rPr>
        <w:t xml:space="preserve">di </w:t>
      </w:r>
      <w:r w:rsidRPr="00034C22">
        <w:rPr>
          <w:rFonts w:ascii="Gill Sans MT" w:eastAsia="Times New Roman" w:hAnsi="Gill Sans MT" w:cs="Arial"/>
          <w:color w:val="1D3A4D"/>
          <w:sz w:val="96"/>
          <w:szCs w:val="104"/>
        </w:rPr>
        <w:t xml:space="preserve">inclusione </w:t>
      </w:r>
      <w:r w:rsidR="00034C22">
        <w:rPr>
          <w:rFonts w:ascii="Gill Sans MT" w:eastAsia="Times New Roman" w:hAnsi="Gill Sans MT" w:cs="Arial"/>
          <w:color w:val="1D3A4D"/>
          <w:sz w:val="96"/>
          <w:szCs w:val="104"/>
        </w:rPr>
        <w:br/>
      </w:r>
      <w:proofErr w:type="gramStart"/>
      <w:r w:rsidRPr="00034C22">
        <w:rPr>
          <w:rFonts w:ascii="Gill Sans MT" w:eastAsia="Times New Roman" w:hAnsi="Gill Sans MT" w:cs="Arial"/>
          <w:color w:val="1D3A4D"/>
          <w:sz w:val="96"/>
          <w:szCs w:val="104"/>
        </w:rPr>
        <w:t>e</w:t>
      </w:r>
      <w:proofErr w:type="gramEnd"/>
      <w:r w:rsidRPr="00034C22">
        <w:rPr>
          <w:rFonts w:ascii="Gill Sans MT" w:eastAsia="Times New Roman" w:hAnsi="Gill Sans MT" w:cs="Arial"/>
          <w:color w:val="1D3A4D"/>
          <w:sz w:val="96"/>
          <w:szCs w:val="104"/>
        </w:rPr>
        <w:t xml:space="preserve"> valorizzazione </w:t>
      </w:r>
      <w:r w:rsidR="00034C22">
        <w:rPr>
          <w:rFonts w:ascii="Gill Sans MT" w:eastAsia="Times New Roman" w:hAnsi="Gill Sans MT" w:cs="Arial"/>
          <w:color w:val="1D3A4D"/>
          <w:sz w:val="96"/>
          <w:szCs w:val="104"/>
        </w:rPr>
        <w:br/>
      </w:r>
      <w:r w:rsidRPr="00034C22">
        <w:rPr>
          <w:rFonts w:ascii="Gill Sans MT" w:eastAsia="Times New Roman" w:hAnsi="Gill Sans MT" w:cs="Arial"/>
          <w:color w:val="1D3A4D"/>
          <w:sz w:val="96"/>
          <w:szCs w:val="104"/>
        </w:rPr>
        <w:t>delle differenze</w:t>
      </w:r>
      <w:r w:rsidR="00766504" w:rsidRPr="00034C22">
        <w:rPr>
          <w:rFonts w:ascii="Gill Sans MT" w:eastAsia="Times New Roman" w:hAnsi="Gill Sans MT" w:cs="Arial"/>
          <w:color w:val="1D3A4D"/>
          <w:sz w:val="96"/>
          <w:szCs w:val="104"/>
        </w:rPr>
        <w:br w:type="page"/>
      </w:r>
    </w:p>
    <w:p w14:paraId="74B55BC2" w14:textId="77777777" w:rsidR="00766504" w:rsidRPr="00A953C2" w:rsidRDefault="00766504" w:rsidP="00FE6D62">
      <w:pPr>
        <w:pStyle w:val="Sommario1"/>
      </w:pPr>
      <w:r w:rsidRPr="00A953C2">
        <w:lastRenderedPageBreak/>
        <w:t>Indice</w:t>
      </w:r>
    </w:p>
    <w:p w14:paraId="6C8E1BE8" w14:textId="77777777" w:rsidR="00766504" w:rsidRDefault="00766504" w:rsidP="00FE6D62">
      <w:pPr>
        <w:pStyle w:val="Sommario1"/>
      </w:pPr>
    </w:p>
    <w:p w14:paraId="127979FF" w14:textId="77777777" w:rsidR="00370A73" w:rsidRDefault="00D9403A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r w:rsidRPr="001D2A97">
        <w:rPr>
          <w:b/>
          <w:sz w:val="20"/>
        </w:rPr>
        <w:fldChar w:fldCharType="begin"/>
      </w:r>
      <w:r w:rsidRPr="001D2A97">
        <w:rPr>
          <w:sz w:val="20"/>
        </w:rPr>
        <w:instrText xml:space="preserve"> TOC \o "1-3" \h \z \u </w:instrText>
      </w:r>
      <w:r w:rsidRPr="001D2A97">
        <w:rPr>
          <w:b/>
          <w:sz w:val="20"/>
        </w:rPr>
        <w:fldChar w:fldCharType="separate"/>
      </w:r>
      <w:hyperlink w:anchor="_Toc143845269" w:history="1">
        <w:r w:rsidR="00370A73" w:rsidRPr="00F944C7">
          <w:rPr>
            <w:rStyle w:val="Collegamentoipertestuale"/>
          </w:rPr>
          <w:t>1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Premessa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_Toc143845269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3</w:t>
        </w:r>
        <w:r w:rsidR="00370A73">
          <w:rPr>
            <w:webHidden/>
          </w:rPr>
          <w:fldChar w:fldCharType="end"/>
        </w:r>
      </w:hyperlink>
    </w:p>
    <w:p w14:paraId="5949E8B4" w14:textId="77777777" w:rsidR="00370A73" w:rsidRDefault="00055CB2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143845270" w:history="1">
        <w:r w:rsidR="00370A73" w:rsidRPr="00F944C7">
          <w:rPr>
            <w:rStyle w:val="Collegamentoipertestuale"/>
          </w:rPr>
          <w:t>2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Obiettivi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_Toc143845270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3</w:t>
        </w:r>
        <w:r w:rsidR="00370A73">
          <w:rPr>
            <w:webHidden/>
          </w:rPr>
          <w:fldChar w:fldCharType="end"/>
        </w:r>
      </w:hyperlink>
    </w:p>
    <w:p w14:paraId="03711CA8" w14:textId="77777777" w:rsidR="00370A73" w:rsidRDefault="00055CB2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143845271" w:history="1">
        <w:r w:rsidR="00370A73" w:rsidRPr="00F944C7">
          <w:rPr>
            <w:rStyle w:val="Collegamentoipertestuale"/>
          </w:rPr>
          <w:t>3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L’inclusione come valore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_Toc143845271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4</w:t>
        </w:r>
        <w:r w:rsidR="00370A73">
          <w:rPr>
            <w:webHidden/>
          </w:rPr>
          <w:fldChar w:fldCharType="end"/>
        </w:r>
      </w:hyperlink>
    </w:p>
    <w:p w14:paraId="256515A6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72" w:history="1">
        <w:r w:rsidR="00370A73" w:rsidRPr="00F944C7">
          <w:rPr>
            <w:rStyle w:val="Collegamentoipertestuale"/>
            <w:noProof/>
          </w:rPr>
          <w:t>3.1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Il linguaggio inclusivo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_Toc143845272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4</w:t>
        </w:r>
        <w:r w:rsidR="00370A73">
          <w:rPr>
            <w:noProof/>
            <w:webHidden/>
          </w:rPr>
          <w:fldChar w:fldCharType="end"/>
        </w:r>
      </w:hyperlink>
    </w:p>
    <w:p w14:paraId="31FC591F" w14:textId="77777777" w:rsidR="00370A73" w:rsidRDefault="00055CB2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143845273" w:history="1">
        <w:r w:rsidR="00370A73" w:rsidRPr="00F944C7">
          <w:rPr>
            <w:rStyle w:val="Collegamentoipertestuale"/>
          </w:rPr>
          <w:t>4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Dimensioni della diversità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_Toc143845273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4</w:t>
        </w:r>
        <w:r w:rsidR="00370A73">
          <w:rPr>
            <w:webHidden/>
          </w:rPr>
          <w:fldChar w:fldCharType="end"/>
        </w:r>
      </w:hyperlink>
    </w:p>
    <w:p w14:paraId="38F3CF9B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74" w:history="1">
        <w:r w:rsidR="00370A73" w:rsidRPr="00F944C7">
          <w:rPr>
            <w:rStyle w:val="Collegamentoipertestuale"/>
            <w:noProof/>
          </w:rPr>
          <w:t>4.1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Genere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_Toc143845274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4</w:t>
        </w:r>
        <w:r w:rsidR="00370A73">
          <w:rPr>
            <w:noProof/>
            <w:webHidden/>
          </w:rPr>
          <w:fldChar w:fldCharType="end"/>
        </w:r>
      </w:hyperlink>
    </w:p>
    <w:p w14:paraId="7C7042E0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75" w:history="1">
        <w:r w:rsidR="00370A73" w:rsidRPr="00F944C7">
          <w:rPr>
            <w:rStyle w:val="Collegamentoipertestuale"/>
            <w:noProof/>
          </w:rPr>
          <w:t>4.2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Disabilità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_Toc143845275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5</w:t>
        </w:r>
        <w:r w:rsidR="00370A73">
          <w:rPr>
            <w:noProof/>
            <w:webHidden/>
          </w:rPr>
          <w:fldChar w:fldCharType="end"/>
        </w:r>
      </w:hyperlink>
    </w:p>
    <w:p w14:paraId="79C275D8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76" w:history="1">
        <w:r w:rsidR="00370A73" w:rsidRPr="00F944C7">
          <w:rPr>
            <w:rStyle w:val="Collegamentoipertestuale"/>
            <w:noProof/>
          </w:rPr>
          <w:t>4.3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Credo religioso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_Toc143845276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5</w:t>
        </w:r>
        <w:r w:rsidR="00370A73">
          <w:rPr>
            <w:noProof/>
            <w:webHidden/>
          </w:rPr>
          <w:fldChar w:fldCharType="end"/>
        </w:r>
      </w:hyperlink>
    </w:p>
    <w:p w14:paraId="342FE405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77" w:history="1">
        <w:r w:rsidR="00370A73" w:rsidRPr="00F944C7">
          <w:rPr>
            <w:rStyle w:val="Collegamentoipertestuale"/>
            <w:noProof/>
          </w:rPr>
          <w:t>4.4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Età e differenza generazionale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_Toc143845277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5</w:t>
        </w:r>
        <w:r w:rsidR="00370A73">
          <w:rPr>
            <w:noProof/>
            <w:webHidden/>
          </w:rPr>
          <w:fldChar w:fldCharType="end"/>
        </w:r>
      </w:hyperlink>
    </w:p>
    <w:p w14:paraId="2C4B53BB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78" w:history="1">
        <w:r w:rsidR="00370A73" w:rsidRPr="00F944C7">
          <w:rPr>
            <w:rStyle w:val="Collegamentoipertestuale"/>
            <w:noProof/>
          </w:rPr>
          <w:t>4.5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Orientamento sessuale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_Toc143845278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6</w:t>
        </w:r>
        <w:r w:rsidR="00370A73">
          <w:rPr>
            <w:noProof/>
            <w:webHidden/>
          </w:rPr>
          <w:fldChar w:fldCharType="end"/>
        </w:r>
      </w:hyperlink>
    </w:p>
    <w:p w14:paraId="60D80473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79" w:history="1">
        <w:r w:rsidR="00370A73" w:rsidRPr="00F944C7">
          <w:rPr>
            <w:rStyle w:val="Collegamentoipertestuale"/>
            <w:noProof/>
          </w:rPr>
          <w:t>4.6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Origine etnica e culturale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_Toc143845279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6</w:t>
        </w:r>
        <w:r w:rsidR="00370A73">
          <w:rPr>
            <w:noProof/>
            <w:webHidden/>
          </w:rPr>
          <w:fldChar w:fldCharType="end"/>
        </w:r>
      </w:hyperlink>
    </w:p>
    <w:p w14:paraId="5A2F8F9C" w14:textId="77777777" w:rsidR="00370A73" w:rsidRDefault="00055CB2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143845280" w:history="1">
        <w:r w:rsidR="00370A73" w:rsidRPr="00F944C7">
          <w:rPr>
            <w:rStyle w:val="Collegamentoipertestuale"/>
          </w:rPr>
          <w:t>5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L’etica e le pari opportunità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_Toc143845280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6</w:t>
        </w:r>
        <w:r w:rsidR="00370A73">
          <w:rPr>
            <w:webHidden/>
          </w:rPr>
          <w:fldChar w:fldCharType="end"/>
        </w:r>
      </w:hyperlink>
    </w:p>
    <w:p w14:paraId="6DA539B9" w14:textId="77777777" w:rsidR="00370A73" w:rsidRDefault="00055CB2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143845281" w:history="1">
        <w:r w:rsidR="00370A73" w:rsidRPr="00F944C7">
          <w:rPr>
            <w:rStyle w:val="Collegamentoipertestuale"/>
          </w:rPr>
          <w:t>6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Comitato guida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_Toc143845281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7</w:t>
        </w:r>
        <w:r w:rsidR="00370A73">
          <w:rPr>
            <w:webHidden/>
          </w:rPr>
          <w:fldChar w:fldCharType="end"/>
        </w:r>
      </w:hyperlink>
    </w:p>
    <w:p w14:paraId="76A4572E" w14:textId="77777777" w:rsidR="00370A73" w:rsidRDefault="00055CB2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143845282" w:history="1">
        <w:r w:rsidR="00370A73" w:rsidRPr="00F944C7">
          <w:rPr>
            <w:rStyle w:val="Collegamentoipertestuale"/>
          </w:rPr>
          <w:t>7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Percorso di sviluppo in azienda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_Toc143845282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7</w:t>
        </w:r>
        <w:r w:rsidR="00370A73">
          <w:rPr>
            <w:webHidden/>
          </w:rPr>
          <w:fldChar w:fldCharType="end"/>
        </w:r>
      </w:hyperlink>
    </w:p>
    <w:p w14:paraId="19B16BFC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83" w:history="1">
        <w:r w:rsidR="00370A73" w:rsidRPr="00F944C7">
          <w:rPr>
            <w:rStyle w:val="Collegamentoipertestuale"/>
            <w:noProof/>
          </w:rPr>
          <w:t>7.1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Selezione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_Toc143845283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7</w:t>
        </w:r>
        <w:r w:rsidR="00370A73">
          <w:rPr>
            <w:noProof/>
            <w:webHidden/>
          </w:rPr>
          <w:fldChar w:fldCharType="end"/>
        </w:r>
      </w:hyperlink>
    </w:p>
    <w:p w14:paraId="46886828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84" w:history="1">
        <w:r w:rsidR="00370A73" w:rsidRPr="00F944C7">
          <w:rPr>
            <w:rStyle w:val="Collegamentoipertestuale"/>
            <w:noProof/>
          </w:rPr>
          <w:t>7.2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Inserimento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_Toc143845284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7</w:t>
        </w:r>
        <w:r w:rsidR="00370A73">
          <w:rPr>
            <w:noProof/>
            <w:webHidden/>
          </w:rPr>
          <w:fldChar w:fldCharType="end"/>
        </w:r>
      </w:hyperlink>
    </w:p>
    <w:p w14:paraId="7A10968D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85" w:history="1">
        <w:r w:rsidR="00370A73" w:rsidRPr="00F944C7">
          <w:rPr>
            <w:rStyle w:val="Collegamentoipertestuale"/>
            <w:noProof/>
          </w:rPr>
          <w:t>7.3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Sviluppo della persona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_Toc143845285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7</w:t>
        </w:r>
        <w:r w:rsidR="00370A73">
          <w:rPr>
            <w:noProof/>
            <w:webHidden/>
          </w:rPr>
          <w:fldChar w:fldCharType="end"/>
        </w:r>
      </w:hyperlink>
    </w:p>
    <w:p w14:paraId="696C9F20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86" w:history="1">
        <w:r w:rsidR="00370A73" w:rsidRPr="00F944C7">
          <w:rPr>
            <w:rStyle w:val="Collegamentoipertestuale"/>
            <w:noProof/>
          </w:rPr>
          <w:t>7.4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Carriera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_Toc143845286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7</w:t>
        </w:r>
        <w:r w:rsidR="00370A73">
          <w:rPr>
            <w:noProof/>
            <w:webHidden/>
          </w:rPr>
          <w:fldChar w:fldCharType="end"/>
        </w:r>
      </w:hyperlink>
    </w:p>
    <w:p w14:paraId="07216ADE" w14:textId="77777777" w:rsidR="00370A73" w:rsidRDefault="00055CB2">
      <w:pPr>
        <w:pStyle w:val="Sommario2"/>
        <w:rPr>
          <w:rFonts w:asciiTheme="minorHAnsi" w:eastAsiaTheme="minorEastAsia" w:hAnsiTheme="minorHAnsi" w:cstheme="minorBidi"/>
          <w:noProof/>
          <w:lang w:eastAsia="it-IT"/>
        </w:rPr>
      </w:pPr>
      <w:hyperlink w:anchor="_Toc143845287" w:history="1">
        <w:r w:rsidR="00370A73" w:rsidRPr="00F944C7">
          <w:rPr>
            <w:rStyle w:val="Collegamentoipertestuale"/>
            <w:noProof/>
          </w:rPr>
          <w:t>7.5</w:t>
        </w:r>
        <w:r w:rsidR="00370A73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370A73" w:rsidRPr="00F944C7">
          <w:rPr>
            <w:rStyle w:val="Collegamentoipertestuale"/>
            <w:noProof/>
          </w:rPr>
          <w:t>Uscita – pensionamento</w:t>
        </w:r>
        <w:r w:rsidR="00370A73">
          <w:rPr>
            <w:noProof/>
            <w:webHidden/>
          </w:rPr>
          <w:tab/>
        </w:r>
        <w:r w:rsidR="00370A73">
          <w:rPr>
            <w:noProof/>
            <w:webHidden/>
          </w:rPr>
          <w:fldChar w:fldCharType="begin"/>
        </w:r>
        <w:r w:rsidR="00370A73">
          <w:rPr>
            <w:noProof/>
            <w:webHidden/>
          </w:rPr>
          <w:instrText xml:space="preserve"> PAGEREF _Toc143845287 \h </w:instrText>
        </w:r>
        <w:r w:rsidR="00370A73">
          <w:rPr>
            <w:noProof/>
            <w:webHidden/>
          </w:rPr>
        </w:r>
        <w:r w:rsidR="00370A73">
          <w:rPr>
            <w:noProof/>
            <w:webHidden/>
          </w:rPr>
          <w:fldChar w:fldCharType="separate"/>
        </w:r>
        <w:r w:rsidR="00370A73">
          <w:rPr>
            <w:noProof/>
            <w:webHidden/>
          </w:rPr>
          <w:t>7</w:t>
        </w:r>
        <w:r w:rsidR="00370A73">
          <w:rPr>
            <w:noProof/>
            <w:webHidden/>
          </w:rPr>
          <w:fldChar w:fldCharType="end"/>
        </w:r>
      </w:hyperlink>
    </w:p>
    <w:p w14:paraId="280D6AC4" w14:textId="77777777" w:rsidR="00370A73" w:rsidRDefault="00055CB2">
      <w:pPr>
        <w:pStyle w:val="Sommario1"/>
        <w:rPr>
          <w:rFonts w:asciiTheme="minorHAnsi" w:eastAsiaTheme="minorEastAsia" w:hAnsiTheme="minorHAnsi" w:cstheme="minorBidi"/>
          <w:sz w:val="22"/>
          <w:szCs w:val="22"/>
        </w:rPr>
      </w:pPr>
      <w:hyperlink w:anchor="_Toc143845288" w:history="1">
        <w:r w:rsidR="00370A73" w:rsidRPr="00F944C7">
          <w:rPr>
            <w:rStyle w:val="Collegamentoipertestuale"/>
          </w:rPr>
          <w:t>8</w:t>
        </w:r>
        <w:r w:rsidR="00370A7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70A73" w:rsidRPr="00F944C7">
          <w:rPr>
            <w:rStyle w:val="Collegamentoipertestuale"/>
          </w:rPr>
          <w:t>Applicazione delle politiche di diversità e inclusione</w:t>
        </w:r>
        <w:r w:rsidR="00370A73">
          <w:rPr>
            <w:webHidden/>
          </w:rPr>
          <w:tab/>
        </w:r>
        <w:r w:rsidR="00370A73">
          <w:rPr>
            <w:webHidden/>
          </w:rPr>
          <w:fldChar w:fldCharType="begin"/>
        </w:r>
        <w:r w:rsidR="00370A73">
          <w:rPr>
            <w:webHidden/>
          </w:rPr>
          <w:instrText xml:space="preserve"> PAGEREF _Toc143845288 \h </w:instrText>
        </w:r>
        <w:r w:rsidR="00370A73">
          <w:rPr>
            <w:webHidden/>
          </w:rPr>
        </w:r>
        <w:r w:rsidR="00370A73">
          <w:rPr>
            <w:webHidden/>
          </w:rPr>
          <w:fldChar w:fldCharType="separate"/>
        </w:r>
        <w:r w:rsidR="00370A73">
          <w:rPr>
            <w:webHidden/>
          </w:rPr>
          <w:t>7</w:t>
        </w:r>
        <w:r w:rsidR="00370A73">
          <w:rPr>
            <w:webHidden/>
          </w:rPr>
          <w:fldChar w:fldCharType="end"/>
        </w:r>
      </w:hyperlink>
    </w:p>
    <w:p w14:paraId="1ACB4D72" w14:textId="77777777" w:rsidR="00766504" w:rsidRPr="00A953C2" w:rsidRDefault="00D9403A" w:rsidP="001D2A97">
      <w:pPr>
        <w:widowControl w:val="0"/>
        <w:tabs>
          <w:tab w:val="left" w:pos="567"/>
        </w:tabs>
        <w:rPr>
          <w:rFonts w:ascii="Gill Sans MT" w:eastAsia="ヒラギノ角ゴ Pro W3" w:hAnsi="Gill Sans MT" w:cs="Arial"/>
          <w:b/>
          <w:noProof/>
          <w:color w:val="3E6575"/>
          <w:sz w:val="20"/>
          <w:szCs w:val="20"/>
          <w:lang w:eastAsia="it-IT"/>
        </w:rPr>
      </w:pPr>
      <w:r w:rsidRPr="001D2A97">
        <w:rPr>
          <w:rFonts w:ascii="Gill Sans MT" w:eastAsia="ヒラギノ角ゴ Pro W3" w:hAnsi="Gill Sans MT" w:cs="Arial"/>
          <w:noProof/>
          <w:sz w:val="20"/>
          <w:szCs w:val="20"/>
          <w:lang w:eastAsia="it-IT"/>
        </w:rPr>
        <w:fldChar w:fldCharType="end"/>
      </w:r>
    </w:p>
    <w:p w14:paraId="0466CA5C" w14:textId="77777777" w:rsidR="0085148D" w:rsidRPr="008826FB" w:rsidRDefault="0085148D" w:rsidP="00523D89">
      <w:pPr>
        <w:pStyle w:val="Paragrafoelenco"/>
        <w:widowControl w:val="0"/>
        <w:rPr>
          <w:noProof/>
          <w:lang w:eastAsia="it-IT"/>
        </w:rPr>
      </w:pPr>
    </w:p>
    <w:p w14:paraId="766DEAE2" w14:textId="77777777" w:rsidR="0085148D" w:rsidRDefault="0085148D" w:rsidP="00523D89">
      <w:pPr>
        <w:pStyle w:val="Paragrafoelenco"/>
        <w:widowControl w:val="0"/>
        <w:rPr>
          <w:lang w:eastAsia="it-IT"/>
        </w:rPr>
      </w:pPr>
    </w:p>
    <w:p w14:paraId="71D8DA88" w14:textId="77777777" w:rsidR="00A953C2" w:rsidRPr="008826FB" w:rsidRDefault="00A953C2" w:rsidP="00523D89">
      <w:pPr>
        <w:pStyle w:val="Paragrafoelenco"/>
        <w:widowControl w:val="0"/>
        <w:rPr>
          <w:lang w:eastAsia="it-IT"/>
        </w:rPr>
      </w:pPr>
    </w:p>
    <w:p w14:paraId="27448C1E" w14:textId="77777777" w:rsidR="0085148D" w:rsidRPr="008826FB" w:rsidRDefault="0085148D" w:rsidP="00523D89">
      <w:pPr>
        <w:pStyle w:val="Paragrafoelenco"/>
        <w:widowControl w:val="0"/>
        <w:rPr>
          <w:lang w:eastAsia="it-IT"/>
        </w:rPr>
      </w:pPr>
    </w:p>
    <w:p w14:paraId="0BC0265B" w14:textId="77777777" w:rsidR="00D9403A" w:rsidRPr="008826FB" w:rsidRDefault="00D9403A" w:rsidP="00523D89">
      <w:pPr>
        <w:pStyle w:val="Paragrafoelenco"/>
        <w:widowControl w:val="0"/>
        <w:rPr>
          <w:lang w:eastAsia="it-IT"/>
        </w:rPr>
      </w:pPr>
    </w:p>
    <w:tbl>
      <w:tblPr>
        <w:tblW w:w="9214" w:type="dxa"/>
        <w:tblBorders>
          <w:bottom w:val="single" w:sz="8" w:space="0" w:color="3E6575"/>
          <w:insideH w:val="single" w:sz="8" w:space="0" w:color="3E657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693"/>
        <w:gridCol w:w="2693"/>
      </w:tblGrid>
      <w:tr w:rsidR="00034C22" w:rsidRPr="009C1F0D" w14:paraId="42F5E127" w14:textId="77777777" w:rsidTr="00034C22">
        <w:tc>
          <w:tcPr>
            <w:tcW w:w="3828" w:type="dxa"/>
          </w:tcPr>
          <w:p w14:paraId="658C2129" w14:textId="77777777" w:rsidR="00034C22" w:rsidRPr="009C1F0D" w:rsidRDefault="00034C22" w:rsidP="00523D89">
            <w:pPr>
              <w:widowControl w:val="0"/>
              <w:rPr>
                <w:rFonts w:ascii="Gill Sans MT" w:hAnsi="Gill Sans MT"/>
                <w:sz w:val="28"/>
                <w:szCs w:val="28"/>
              </w:rPr>
            </w:pPr>
            <w:r w:rsidRPr="009C1F0D">
              <w:rPr>
                <w:rFonts w:ascii="Gill Sans MT" w:hAnsi="Gill Sans MT"/>
                <w:sz w:val="28"/>
                <w:szCs w:val="28"/>
              </w:rPr>
              <w:t>Preparazione</w:t>
            </w:r>
          </w:p>
        </w:tc>
        <w:tc>
          <w:tcPr>
            <w:tcW w:w="2693" w:type="dxa"/>
          </w:tcPr>
          <w:p w14:paraId="4BE11343" w14:textId="77777777" w:rsidR="00034C22" w:rsidRPr="009C1F0D" w:rsidRDefault="00034C22" w:rsidP="00523D89">
            <w:pPr>
              <w:widowControl w:val="0"/>
              <w:rPr>
                <w:rFonts w:ascii="Gill Sans MT" w:hAnsi="Gill Sans MT"/>
                <w:sz w:val="28"/>
                <w:szCs w:val="28"/>
              </w:rPr>
            </w:pPr>
            <w:r w:rsidRPr="009C1F0D">
              <w:rPr>
                <w:rFonts w:ascii="Gill Sans MT" w:hAnsi="Gill Sans MT"/>
                <w:sz w:val="28"/>
                <w:szCs w:val="28"/>
              </w:rPr>
              <w:t>Verifica</w:t>
            </w:r>
          </w:p>
        </w:tc>
        <w:tc>
          <w:tcPr>
            <w:tcW w:w="2693" w:type="dxa"/>
          </w:tcPr>
          <w:p w14:paraId="14ACC45D" w14:textId="77777777" w:rsidR="00034C22" w:rsidRPr="009C1F0D" w:rsidRDefault="00034C22" w:rsidP="00523D89">
            <w:pPr>
              <w:widowControl w:val="0"/>
              <w:rPr>
                <w:rFonts w:ascii="Gill Sans MT" w:hAnsi="Gill Sans MT"/>
                <w:sz w:val="28"/>
                <w:szCs w:val="28"/>
              </w:rPr>
            </w:pPr>
            <w:r w:rsidRPr="009C1F0D">
              <w:rPr>
                <w:rFonts w:ascii="Gill Sans MT" w:hAnsi="Gill Sans MT"/>
                <w:sz w:val="28"/>
                <w:szCs w:val="28"/>
              </w:rPr>
              <w:t>Approvazione</w:t>
            </w:r>
          </w:p>
        </w:tc>
      </w:tr>
      <w:tr w:rsidR="00034C22" w:rsidRPr="001373FA" w14:paraId="36C1A6FD" w14:textId="77777777" w:rsidTr="00034C22">
        <w:trPr>
          <w:trHeight w:val="435"/>
        </w:trPr>
        <w:tc>
          <w:tcPr>
            <w:tcW w:w="3828" w:type="dxa"/>
          </w:tcPr>
          <w:p w14:paraId="2F12A10C" w14:textId="73315B7E" w:rsidR="00034C22" w:rsidRDefault="007D3849" w:rsidP="00523D89">
            <w:pPr>
              <w:widowControl w:val="0"/>
              <w:rPr>
                <w:rFonts w:ascii="Gill Sans MT" w:hAnsi="Gill Sans MT"/>
                <w:i/>
              </w:rPr>
            </w:pPr>
            <w:r>
              <w:rPr>
                <w:rFonts w:ascii="Gill Sans MT" w:hAnsi="Gill Sans MT"/>
              </w:rPr>
              <w:t>Comitato guida</w:t>
            </w:r>
          </w:p>
          <w:p w14:paraId="38FA632E" w14:textId="77777777" w:rsidR="00034C22" w:rsidRDefault="00C506C7" w:rsidP="007D3849">
            <w:pPr>
              <w:widowControl w:val="0"/>
              <w:rPr>
                <w:rFonts w:ascii="Gill Sans MT" w:hAnsi="Gill Sans MT"/>
                <w:i/>
                <w:sz w:val="14"/>
                <w:szCs w:val="14"/>
              </w:rPr>
            </w:pPr>
            <w:r>
              <w:rPr>
                <w:rFonts w:ascii="Gill Sans MT" w:hAnsi="Gill Sans MT"/>
                <w:i/>
                <w:sz w:val="14"/>
                <w:szCs w:val="14"/>
              </w:rPr>
              <w:t>DATA</w:t>
            </w:r>
          </w:p>
          <w:p w14:paraId="7176EDF9" w14:textId="76414E24" w:rsidR="00ED6D8B" w:rsidRPr="004E53F2" w:rsidRDefault="00ED6D8B" w:rsidP="007D3849">
            <w:pPr>
              <w:widowControl w:val="0"/>
              <w:rPr>
                <w:rFonts w:ascii="Gill Sans MT" w:hAnsi="Gill Sans MT"/>
                <w:i/>
                <w:sz w:val="14"/>
                <w:szCs w:val="14"/>
              </w:rPr>
            </w:pPr>
            <w:r>
              <w:rPr>
                <w:rFonts w:ascii="Gill Sans MT" w:hAnsi="Gill Sans MT"/>
                <w:i/>
                <w:sz w:val="14"/>
                <w:szCs w:val="14"/>
              </w:rPr>
              <w:t>25.08.2023</w:t>
            </w:r>
          </w:p>
        </w:tc>
        <w:tc>
          <w:tcPr>
            <w:tcW w:w="2693" w:type="dxa"/>
          </w:tcPr>
          <w:p w14:paraId="19104FD8" w14:textId="77777777" w:rsidR="00034C22" w:rsidRDefault="007D3849" w:rsidP="007D3849">
            <w:pPr>
              <w:widowControl w:val="0"/>
              <w:rPr>
                <w:rFonts w:ascii="Gill Sans MT" w:hAnsi="Gill Sans MT"/>
              </w:rPr>
            </w:pPr>
            <w:r w:rsidRPr="007D3849">
              <w:rPr>
                <w:rFonts w:ascii="Gill Sans MT" w:hAnsi="Gill Sans MT"/>
              </w:rPr>
              <w:t>Presidente</w:t>
            </w:r>
          </w:p>
          <w:p w14:paraId="3228B78B" w14:textId="611A4803" w:rsidR="00C506C7" w:rsidRPr="007D3849" w:rsidRDefault="00C506C7" w:rsidP="007D3849">
            <w:pPr>
              <w:widowControl w:val="0"/>
              <w:rPr>
                <w:rFonts w:ascii="Gill Sans MT" w:hAnsi="Gill Sans MT"/>
              </w:rPr>
            </w:pPr>
            <w:r>
              <w:rPr>
                <w:rFonts w:ascii="Gill Sans MT" w:hAnsi="Gill Sans MT"/>
                <w:i/>
                <w:sz w:val="14"/>
                <w:szCs w:val="14"/>
              </w:rPr>
              <w:t>(FIRMATO)</w:t>
            </w:r>
          </w:p>
        </w:tc>
        <w:tc>
          <w:tcPr>
            <w:tcW w:w="2693" w:type="dxa"/>
          </w:tcPr>
          <w:p w14:paraId="5F162164" w14:textId="3D517AAA" w:rsidR="00034C22" w:rsidRPr="002A5B91" w:rsidRDefault="00034C22" w:rsidP="00523D89">
            <w:pPr>
              <w:widowControl w:val="0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CdA</w:t>
            </w:r>
            <w:proofErr w:type="spellEnd"/>
            <w:r w:rsidR="003E10E0">
              <w:rPr>
                <w:rFonts w:ascii="Gill Sans MT" w:hAnsi="Gill Sans MT"/>
              </w:rPr>
              <w:t xml:space="preserve"> </w:t>
            </w:r>
          </w:p>
          <w:p w14:paraId="12FD082B" w14:textId="77777777" w:rsidR="00034C22" w:rsidRDefault="00C506C7" w:rsidP="00523D89">
            <w:pPr>
              <w:widowControl w:val="0"/>
              <w:rPr>
                <w:rFonts w:ascii="Gill Sans MT" w:hAnsi="Gill Sans MT"/>
                <w:i/>
                <w:sz w:val="14"/>
                <w:szCs w:val="14"/>
              </w:rPr>
            </w:pPr>
            <w:r>
              <w:rPr>
                <w:rFonts w:ascii="Gill Sans MT" w:hAnsi="Gill Sans MT"/>
                <w:i/>
                <w:sz w:val="14"/>
                <w:szCs w:val="14"/>
              </w:rPr>
              <w:t>DATA</w:t>
            </w:r>
          </w:p>
          <w:p w14:paraId="6F0BE79F" w14:textId="216DF92D" w:rsidR="00C506C7" w:rsidRPr="001373FA" w:rsidRDefault="00C506C7" w:rsidP="00523D89">
            <w:pPr>
              <w:widowControl w:val="0"/>
              <w:rPr>
                <w:rFonts w:ascii="Gill Sans MT" w:hAnsi="Gill Sans MT"/>
              </w:rPr>
            </w:pPr>
          </w:p>
        </w:tc>
      </w:tr>
    </w:tbl>
    <w:p w14:paraId="53375AAA" w14:textId="0AB145F0" w:rsidR="00766504" w:rsidRPr="00ED6D8B" w:rsidRDefault="00ED6D8B" w:rsidP="00523D89">
      <w:pPr>
        <w:pStyle w:val="Paragrafoelenco"/>
        <w:widowControl w:val="0"/>
        <w:rPr>
          <w:i/>
          <w:lang w:eastAsia="it-IT"/>
        </w:rPr>
      </w:pPr>
      <w:r w:rsidRPr="00ED6D8B">
        <w:rPr>
          <w:i/>
          <w:lang w:eastAsia="it-IT"/>
        </w:rPr>
        <w:t>Variazioni: modifiche a seguito di aggiornamento del sistema</w:t>
      </w:r>
      <w:r w:rsidR="00766504" w:rsidRPr="00ED6D8B">
        <w:rPr>
          <w:i/>
          <w:lang w:eastAsia="it-IT"/>
        </w:rPr>
        <w:br w:type="page"/>
      </w:r>
    </w:p>
    <w:p w14:paraId="0D9E176F" w14:textId="77777777" w:rsidR="00273C7C" w:rsidRPr="00F4137A" w:rsidRDefault="00273C7C" w:rsidP="0004672E">
      <w:pPr>
        <w:pStyle w:val="Titolo1"/>
      </w:pPr>
      <w:bookmarkStart w:id="0" w:name="_Toc143845269"/>
      <w:r w:rsidRPr="00F4137A">
        <w:lastRenderedPageBreak/>
        <w:t>1</w:t>
      </w:r>
      <w:r w:rsidRPr="00F4137A">
        <w:tab/>
        <w:t>Premessa</w:t>
      </w:r>
      <w:bookmarkEnd w:id="0"/>
    </w:p>
    <w:p w14:paraId="426B33A8" w14:textId="1537A636" w:rsidR="00477336" w:rsidRPr="00477336" w:rsidRDefault="00477336" w:rsidP="00477336">
      <w:pPr>
        <w:pStyle w:val="Paragrafoelenco"/>
        <w:widowControl w:val="0"/>
      </w:pPr>
      <w:proofErr w:type="spellStart"/>
      <w:r w:rsidRPr="00477336">
        <w:t>V</w:t>
      </w:r>
      <w:r w:rsidR="005E722E">
        <w:t>iveracqua</w:t>
      </w:r>
      <w:proofErr w:type="spellEnd"/>
      <w:r w:rsidR="005E722E">
        <w:t xml:space="preserve"> nasce nel giugno 2011</w:t>
      </w:r>
      <w:r w:rsidRPr="00477336">
        <w:t>.</w:t>
      </w:r>
      <w:r>
        <w:t xml:space="preserve"> </w:t>
      </w:r>
      <w:r w:rsidRPr="00477336">
        <w:t>Nei mesi e negli anni successivi, entrano a far parte del consorzio tutte le aziende del servizio idrico integrato a totale proprietà pubblica con sede in Veneto.</w:t>
      </w:r>
    </w:p>
    <w:p w14:paraId="25A98C60" w14:textId="77777777" w:rsidR="00477336" w:rsidRPr="00477336" w:rsidRDefault="00477336" w:rsidP="00477336">
      <w:pPr>
        <w:pStyle w:val="Paragrafoelenco"/>
        <w:widowControl w:val="0"/>
      </w:pPr>
      <w:r w:rsidRPr="00477336">
        <w:t>Mantenere lo stretto legame con il territorio di ciascuna azienda, riuscendo a coniugarlo con la capacità di sviluppare attività industriali, finanziarie e operative di grande portata: è questa l’idea alla base della nascita del consorzio.</w:t>
      </w:r>
    </w:p>
    <w:p w14:paraId="747AF844" w14:textId="77777777" w:rsidR="00477336" w:rsidRPr="00477336" w:rsidRDefault="00477336" w:rsidP="00477336">
      <w:pPr>
        <w:pStyle w:val="Paragrafoelenco"/>
        <w:widowControl w:val="0"/>
      </w:pPr>
      <w:r w:rsidRPr="00477336">
        <w:t xml:space="preserve">Nel corso degli anni, il progetto </w:t>
      </w:r>
      <w:proofErr w:type="spellStart"/>
      <w:r w:rsidRPr="00477336">
        <w:t>Viveracqua</w:t>
      </w:r>
      <w:proofErr w:type="spellEnd"/>
      <w:r w:rsidRPr="00477336">
        <w:t xml:space="preserve"> si è dotato di molteplici strumenti per realizzare questo fondamentale obiettivo: tra questi, i Gruppi di lavoro permanenti, i tavoli di lavoro tra interlocutori di livello regionale ed europeo, i progetti formativi condivisi, una Centrale Unica di Committenza.</w:t>
      </w:r>
    </w:p>
    <w:p w14:paraId="2C934E27" w14:textId="77777777" w:rsidR="00477336" w:rsidRPr="00477336" w:rsidRDefault="00477336" w:rsidP="00477336">
      <w:pPr>
        <w:pStyle w:val="Paragrafoelenco"/>
        <w:widowControl w:val="0"/>
      </w:pPr>
      <w:r w:rsidRPr="00477336">
        <w:t xml:space="preserve">A segnare due tappe importanti nella storia di </w:t>
      </w:r>
      <w:proofErr w:type="spellStart"/>
      <w:r w:rsidRPr="00477336">
        <w:t>Viveracqua</w:t>
      </w:r>
      <w:proofErr w:type="spellEnd"/>
      <w:r w:rsidRPr="00477336">
        <w:t xml:space="preserve"> due progetti di rilievo.</w:t>
      </w:r>
    </w:p>
    <w:p w14:paraId="2A29F4FA" w14:textId="49F4171D" w:rsidR="00477336" w:rsidRPr="00477336" w:rsidRDefault="00477336" w:rsidP="00477336">
      <w:pPr>
        <w:pStyle w:val="Paragrafoelenco"/>
        <w:widowControl w:val="0"/>
      </w:pPr>
      <w:r>
        <w:t xml:space="preserve">Con </w:t>
      </w:r>
      <w:proofErr w:type="spellStart"/>
      <w:r w:rsidRPr="00477336">
        <w:rPr>
          <w:b/>
          <w:bCs/>
        </w:rPr>
        <w:t>Viveracqua</w:t>
      </w:r>
      <w:proofErr w:type="spellEnd"/>
      <w:r>
        <w:t xml:space="preserve"> </w:t>
      </w:r>
      <w:proofErr w:type="spellStart"/>
      <w:r w:rsidRPr="00477336">
        <w:rPr>
          <w:b/>
          <w:bCs/>
        </w:rPr>
        <w:t>Hydrobond</w:t>
      </w:r>
      <w:proofErr w:type="spellEnd"/>
      <w:r w:rsidRPr="00477336">
        <w:t xml:space="preserve">, dalla prima emissione nel 2014 </w:t>
      </w:r>
      <w:r w:rsidR="005E722E" w:rsidRPr="00477336">
        <w:t xml:space="preserve">alla </w:t>
      </w:r>
      <w:r w:rsidR="005E722E">
        <w:t>quarta</w:t>
      </w:r>
      <w:r w:rsidR="005E722E" w:rsidRPr="00477336">
        <w:t xml:space="preserve"> nel 202</w:t>
      </w:r>
      <w:r w:rsidR="005E722E">
        <w:t>2</w:t>
      </w:r>
      <w:r w:rsidRPr="00477336">
        <w:t xml:space="preserve">, i gestori idrici veneti hanno saputo raccogliere finanziamenti della Banca Europea degli Investimenti </w:t>
      </w:r>
      <w:r w:rsidR="005E722E" w:rsidRPr="00477336">
        <w:t xml:space="preserve">per circa </w:t>
      </w:r>
      <w:r w:rsidR="005E722E">
        <w:t>624</w:t>
      </w:r>
      <w:r w:rsidR="005E722E" w:rsidRPr="00477336">
        <w:t xml:space="preserve"> </w:t>
      </w:r>
      <w:r w:rsidRPr="00477336">
        <w:t>milioni di euro, dando vita alla prima operazione di questo tipo fra aziende del servizio idrico integrato in Italia ed Europa.</w:t>
      </w:r>
    </w:p>
    <w:p w14:paraId="26A7E740" w14:textId="4A489335" w:rsidR="00477336" w:rsidRPr="00477336" w:rsidRDefault="00477336" w:rsidP="00477336">
      <w:pPr>
        <w:pStyle w:val="Paragrafoelenco"/>
        <w:widowControl w:val="0"/>
      </w:pPr>
      <w:r w:rsidRPr="00477336">
        <w:t>Nel 2018</w:t>
      </w:r>
      <w:r>
        <w:t xml:space="preserve"> si è concretizzato il progetto </w:t>
      </w:r>
      <w:proofErr w:type="spellStart"/>
      <w:r w:rsidRPr="00477336">
        <w:rPr>
          <w:b/>
          <w:bCs/>
        </w:rPr>
        <w:t>Viveracqualab</w:t>
      </w:r>
      <w:proofErr w:type="spellEnd"/>
      <w:r w:rsidRPr="00477336">
        <w:t>: una rete che unisce laboratori e tecnici e mette a fattor comune le competenze e le tecnologie a disposizione delle diverse aziende, per analizzare la qualità delle acque potabili e reflue e garantire la tutela della risorsa idrica.</w:t>
      </w:r>
    </w:p>
    <w:p w14:paraId="507DA099" w14:textId="1520BA72" w:rsidR="001D0C82" w:rsidRPr="001D0C82" w:rsidRDefault="001D0C82" w:rsidP="00523D89">
      <w:pPr>
        <w:pStyle w:val="Paragrafoelenco"/>
        <w:widowControl w:val="0"/>
        <w:rPr>
          <w:b/>
        </w:rPr>
      </w:pPr>
      <w:r w:rsidRPr="001D0C82">
        <w:rPr>
          <w:b/>
        </w:rPr>
        <w:t xml:space="preserve">Per i 12 gestori di </w:t>
      </w:r>
      <w:proofErr w:type="spellStart"/>
      <w:r w:rsidRPr="001D0C82">
        <w:rPr>
          <w:b/>
        </w:rPr>
        <w:t>Viveracqua</w:t>
      </w:r>
      <w:proofErr w:type="spellEnd"/>
      <w:r w:rsidRPr="001D0C82">
        <w:rPr>
          <w:b/>
        </w:rPr>
        <w:t xml:space="preserve"> la sostenibilità è una scelta consapevole.</w:t>
      </w:r>
    </w:p>
    <w:p w14:paraId="04F5B17A" w14:textId="7D5EBDEC" w:rsidR="00662D56" w:rsidRPr="00034C22" w:rsidRDefault="001D0C82" w:rsidP="00523D89">
      <w:pPr>
        <w:pStyle w:val="Paragrafoelenco"/>
        <w:widowControl w:val="0"/>
      </w:pPr>
      <w:r>
        <w:t xml:space="preserve">Per </w:t>
      </w:r>
      <w:r w:rsidR="002F4E06" w:rsidRPr="00034C22">
        <w:t>organizza</w:t>
      </w:r>
      <w:r>
        <w:t>re</w:t>
      </w:r>
      <w:r w:rsidR="00662D56" w:rsidRPr="00034C22">
        <w:t xml:space="preserve"> servizi pubblici</w:t>
      </w:r>
      <w:r w:rsidR="002F4E06" w:rsidRPr="00034C22">
        <w:t xml:space="preserve"> essenziali</w:t>
      </w:r>
      <w:r w:rsidR="00662D56" w:rsidRPr="00034C22">
        <w:t xml:space="preserve"> </w:t>
      </w:r>
      <w:r>
        <w:t xml:space="preserve">perseguendo </w:t>
      </w:r>
      <w:r w:rsidR="00662D56" w:rsidRPr="00034C22">
        <w:t xml:space="preserve">la massima efficacia ed efficienza nel </w:t>
      </w:r>
      <w:r>
        <w:t>produrli ed erogarli,</w:t>
      </w:r>
      <w:r w:rsidR="002F4E06" w:rsidRPr="00034C22">
        <w:t xml:space="preserve"> in linea con i migliori</w:t>
      </w:r>
      <w:r w:rsidR="00662D56" w:rsidRPr="00034C22">
        <w:t xml:space="preserve"> standard dei settori ove </w:t>
      </w:r>
      <w:r>
        <w:t>si opera, il</w:t>
      </w:r>
      <w:r w:rsidR="00662D56" w:rsidRPr="00034C22">
        <w:t xml:space="preserve"> personale deve essere formato </w:t>
      </w:r>
      <w:r w:rsidR="002F4E06" w:rsidRPr="00034C22">
        <w:t>e preparato, reso</w:t>
      </w:r>
      <w:r w:rsidR="00662D56" w:rsidRPr="00034C22">
        <w:t xml:space="preserve"> consapevole del proprio ruolo </w:t>
      </w:r>
      <w:r w:rsidR="002F4E06" w:rsidRPr="00034C22">
        <w:t>rispetto all</w:t>
      </w:r>
      <w:r w:rsidR="00962939">
        <w:t>’</w:t>
      </w:r>
      <w:r w:rsidR="00662D56" w:rsidRPr="00034C22">
        <w:t>organizzazione aziendale</w:t>
      </w:r>
      <w:r w:rsidR="002F4E06" w:rsidRPr="00034C22">
        <w:t xml:space="preserve">, così da </w:t>
      </w:r>
      <w:r w:rsidR="00662D56" w:rsidRPr="00034C22">
        <w:t>a</w:t>
      </w:r>
      <w:r w:rsidR="002F4E06" w:rsidRPr="00034C22">
        <w:t>dottare comportamenti adeguati.</w:t>
      </w:r>
    </w:p>
    <w:p w14:paraId="60A658FB" w14:textId="77777777" w:rsidR="00E0211B" w:rsidRPr="00523D89" w:rsidRDefault="00662D56" w:rsidP="00523D89">
      <w:pPr>
        <w:pStyle w:val="Paragrafoelenco"/>
        <w:widowControl w:val="0"/>
        <w:rPr>
          <w:spacing w:val="-4"/>
        </w:rPr>
      </w:pPr>
      <w:r w:rsidRPr="00523D89">
        <w:rPr>
          <w:spacing w:val="-4"/>
        </w:rPr>
        <w:t xml:space="preserve">Questo obiettivo si ottiene anche </w:t>
      </w:r>
      <w:r w:rsidR="002F4E06" w:rsidRPr="00523D89">
        <w:rPr>
          <w:spacing w:val="-4"/>
        </w:rPr>
        <w:t>facendo in modo che l</w:t>
      </w:r>
      <w:r w:rsidR="00962939" w:rsidRPr="00523D89">
        <w:rPr>
          <w:spacing w:val="-4"/>
        </w:rPr>
        <w:t>’</w:t>
      </w:r>
      <w:r w:rsidR="00273C7C" w:rsidRPr="00523D89">
        <w:rPr>
          <w:spacing w:val="-4"/>
        </w:rPr>
        <w:t xml:space="preserve">ambiente di lavoro </w:t>
      </w:r>
      <w:r w:rsidR="002F4E06" w:rsidRPr="00523D89">
        <w:rPr>
          <w:spacing w:val="-4"/>
        </w:rPr>
        <w:t xml:space="preserve">sia </w:t>
      </w:r>
      <w:r w:rsidR="00A20407" w:rsidRPr="00523D89">
        <w:rPr>
          <w:spacing w:val="-4"/>
        </w:rPr>
        <w:t>inclusivo</w:t>
      </w:r>
      <w:r w:rsidR="00E0211B" w:rsidRPr="00523D89">
        <w:rPr>
          <w:spacing w:val="-4"/>
        </w:rPr>
        <w:t xml:space="preserve"> grazie a</w:t>
      </w:r>
      <w:r w:rsidR="00877453" w:rsidRPr="00523D89">
        <w:rPr>
          <w:spacing w:val="-4"/>
        </w:rPr>
        <w:t xml:space="preserve"> </w:t>
      </w:r>
      <w:r w:rsidR="002F4E06" w:rsidRPr="00523D89">
        <w:rPr>
          <w:spacing w:val="-4"/>
        </w:rPr>
        <w:t>schemi</w:t>
      </w:r>
      <w:r w:rsidR="00877453" w:rsidRPr="00523D89">
        <w:rPr>
          <w:spacing w:val="-4"/>
        </w:rPr>
        <w:t xml:space="preserve"> organizzativi e gestionali </w:t>
      </w:r>
      <w:r w:rsidR="00C63017" w:rsidRPr="00523D89">
        <w:rPr>
          <w:spacing w:val="-4"/>
        </w:rPr>
        <w:t>che consider</w:t>
      </w:r>
      <w:r w:rsidR="00E0211B" w:rsidRPr="00523D89">
        <w:rPr>
          <w:spacing w:val="-4"/>
        </w:rPr>
        <w:t>i</w:t>
      </w:r>
      <w:r w:rsidR="00C63017" w:rsidRPr="00523D89">
        <w:rPr>
          <w:spacing w:val="-4"/>
        </w:rPr>
        <w:t>no il</w:t>
      </w:r>
      <w:r w:rsidR="00877453" w:rsidRPr="00523D89">
        <w:rPr>
          <w:spacing w:val="-4"/>
        </w:rPr>
        <w:t xml:space="preserve"> rispetto</w:t>
      </w:r>
      <w:r w:rsidR="002F4E06" w:rsidRPr="00523D89">
        <w:rPr>
          <w:spacing w:val="-4"/>
        </w:rPr>
        <w:t xml:space="preserve"> interpersonale </w:t>
      </w:r>
      <w:r w:rsidR="00E0211B" w:rsidRPr="00523D89">
        <w:rPr>
          <w:spacing w:val="-4"/>
        </w:rPr>
        <w:t xml:space="preserve">e favoriscano la </w:t>
      </w:r>
      <w:r w:rsidR="002F4E06" w:rsidRPr="00523D89">
        <w:rPr>
          <w:spacing w:val="-4"/>
        </w:rPr>
        <w:t>cooperazione</w:t>
      </w:r>
      <w:r w:rsidR="002A5B91" w:rsidRPr="00523D89">
        <w:rPr>
          <w:spacing w:val="-4"/>
        </w:rPr>
        <w:t xml:space="preserve"> tra le persone</w:t>
      </w:r>
      <w:r w:rsidR="00622813" w:rsidRPr="00523D89">
        <w:rPr>
          <w:spacing w:val="-4"/>
        </w:rPr>
        <w:t>.</w:t>
      </w:r>
    </w:p>
    <w:p w14:paraId="68B06FD8" w14:textId="1BCFA7FA" w:rsidR="00E0211B" w:rsidRPr="00034C22" w:rsidRDefault="001D0C82" w:rsidP="00523D89">
      <w:pPr>
        <w:pStyle w:val="Paragrafoelenco"/>
        <w:widowControl w:val="0"/>
      </w:pPr>
      <w:r>
        <w:t>Le organizzazioni aziendali devono</w:t>
      </w:r>
      <w:r w:rsidR="00E0211B" w:rsidRPr="00034C22">
        <w:t xml:space="preserve"> essere </w:t>
      </w:r>
      <w:r w:rsidR="00A20407" w:rsidRPr="00034C22">
        <w:t>in gra</w:t>
      </w:r>
      <w:r w:rsidR="00E0211B" w:rsidRPr="00034C22">
        <w:t>do di valorizzare al meglio le attività di ogni singolo individuo</w:t>
      </w:r>
      <w:r w:rsidR="002F4E06" w:rsidRPr="00034C22">
        <w:t>,</w:t>
      </w:r>
      <w:r w:rsidR="00A20407" w:rsidRPr="00034C22">
        <w:t xml:space="preserve"> secondo le </w:t>
      </w:r>
      <w:r w:rsidR="00E0211B" w:rsidRPr="00034C22">
        <w:t xml:space="preserve">capacità e </w:t>
      </w:r>
      <w:r w:rsidR="00A20407" w:rsidRPr="00034C22">
        <w:t>potenzialità</w:t>
      </w:r>
      <w:r w:rsidR="00E0211B" w:rsidRPr="00034C22">
        <w:t xml:space="preserve"> </w:t>
      </w:r>
      <w:r w:rsidR="00F4137A" w:rsidRPr="00034C22">
        <w:t xml:space="preserve">da questi </w:t>
      </w:r>
      <w:r w:rsidR="00E0211B" w:rsidRPr="00034C22">
        <w:t>possedute</w:t>
      </w:r>
      <w:r w:rsidR="00A20407" w:rsidRPr="00034C22">
        <w:t>,</w:t>
      </w:r>
      <w:r w:rsidR="00273C7C" w:rsidRPr="00034C22">
        <w:t xml:space="preserve"> </w:t>
      </w:r>
      <w:r w:rsidR="00E0211B" w:rsidRPr="00034C22">
        <w:t>riconoscendo</w:t>
      </w:r>
      <w:r w:rsidR="00273C7C" w:rsidRPr="00034C22">
        <w:t xml:space="preserve"> le differenze delle competenze</w:t>
      </w:r>
      <w:r w:rsidR="00F4137A" w:rsidRPr="00034C22">
        <w:t>,</w:t>
      </w:r>
      <w:r w:rsidR="00877453" w:rsidRPr="00034C22">
        <w:t xml:space="preserve"> dell</w:t>
      </w:r>
      <w:r w:rsidR="00273C7C" w:rsidRPr="00034C22">
        <w:t>e abilità</w:t>
      </w:r>
      <w:r w:rsidR="00E0211B" w:rsidRPr="00034C22">
        <w:t xml:space="preserve"> e</w:t>
      </w:r>
      <w:r w:rsidR="00273C7C" w:rsidRPr="00034C22">
        <w:t xml:space="preserve"> contribuendo</w:t>
      </w:r>
      <w:r w:rsidR="00A20407" w:rsidRPr="00034C22">
        <w:t xml:space="preserve"> ad accrescere il bagaglio di conoscenze</w:t>
      </w:r>
      <w:r w:rsidR="00F4137A" w:rsidRPr="00034C22">
        <w:t xml:space="preserve"> e di capacità individuali</w:t>
      </w:r>
      <w:r w:rsidR="00E0211B" w:rsidRPr="00034C22">
        <w:t>.</w:t>
      </w:r>
    </w:p>
    <w:p w14:paraId="501F2827" w14:textId="77777777" w:rsidR="005836BC" w:rsidRDefault="005836BC" w:rsidP="00523D89">
      <w:pPr>
        <w:pStyle w:val="Paragrafoelenco"/>
        <w:widowControl w:val="0"/>
        <w:rPr>
          <w:spacing w:val="-2"/>
        </w:rPr>
      </w:pPr>
      <w:proofErr w:type="spellStart"/>
      <w:r>
        <w:rPr>
          <w:spacing w:val="-2"/>
        </w:rPr>
        <w:t>Viveracqua</w:t>
      </w:r>
      <w:proofErr w:type="spellEnd"/>
      <w:r w:rsidR="00877453" w:rsidRPr="00523D89">
        <w:rPr>
          <w:spacing w:val="-2"/>
        </w:rPr>
        <w:t xml:space="preserve"> non ammette alcuna forma di discriminazione</w:t>
      </w:r>
      <w:r w:rsidR="008F3688" w:rsidRPr="00523D89">
        <w:rPr>
          <w:spacing w:val="-2"/>
        </w:rPr>
        <w:t>,</w:t>
      </w:r>
      <w:r w:rsidR="00877453" w:rsidRPr="00523D89">
        <w:rPr>
          <w:spacing w:val="-2"/>
        </w:rPr>
        <w:t xml:space="preserve"> diretta o indiretta</w:t>
      </w:r>
      <w:r w:rsidR="008F3688" w:rsidRPr="00523D89">
        <w:rPr>
          <w:spacing w:val="-2"/>
        </w:rPr>
        <w:t xml:space="preserve">, in relazione a </w:t>
      </w:r>
      <w:r w:rsidR="00877453" w:rsidRPr="00523D89">
        <w:rPr>
          <w:spacing w:val="-2"/>
        </w:rPr>
        <w:t>età, genere, disabilità, nazionalità, opinioni politiche,</w:t>
      </w:r>
      <w:r w:rsidR="008F3688" w:rsidRPr="00523D89">
        <w:rPr>
          <w:spacing w:val="-2"/>
        </w:rPr>
        <w:t xml:space="preserve"> </w:t>
      </w:r>
      <w:r w:rsidR="00877453" w:rsidRPr="00523D89">
        <w:rPr>
          <w:spacing w:val="-2"/>
        </w:rPr>
        <w:t>fede relig</w:t>
      </w:r>
      <w:r w:rsidR="00E0211B" w:rsidRPr="00523D89">
        <w:rPr>
          <w:spacing w:val="-2"/>
        </w:rPr>
        <w:t>iosa, origine etnica</w:t>
      </w:r>
      <w:r w:rsidR="00F4137A" w:rsidRPr="00523D89">
        <w:rPr>
          <w:spacing w:val="-2"/>
        </w:rPr>
        <w:t xml:space="preserve"> e pertanto</w:t>
      </w:r>
      <w:r w:rsidR="00E0211B" w:rsidRPr="00523D89">
        <w:rPr>
          <w:spacing w:val="-2"/>
        </w:rPr>
        <w:t xml:space="preserve"> n</w:t>
      </w:r>
      <w:r w:rsidR="00F4137A" w:rsidRPr="00523D89">
        <w:rPr>
          <w:spacing w:val="-2"/>
        </w:rPr>
        <w:t xml:space="preserve">on </w:t>
      </w:r>
      <w:r w:rsidR="00E0211B" w:rsidRPr="00523D89">
        <w:rPr>
          <w:spacing w:val="-2"/>
        </w:rPr>
        <w:t xml:space="preserve">è permesso che </w:t>
      </w:r>
      <w:r w:rsidR="00622813" w:rsidRPr="00523D89">
        <w:rPr>
          <w:spacing w:val="-2"/>
        </w:rPr>
        <w:t xml:space="preserve">siano adottati </w:t>
      </w:r>
      <w:r w:rsidR="00F4137A" w:rsidRPr="00523D89">
        <w:rPr>
          <w:spacing w:val="-2"/>
        </w:rPr>
        <w:t xml:space="preserve">comportamenti discriminatori </w:t>
      </w:r>
      <w:r w:rsidR="00622813" w:rsidRPr="00523D89">
        <w:rPr>
          <w:spacing w:val="-2"/>
        </w:rPr>
        <w:t>tra coloro che lavorano all</w:t>
      </w:r>
      <w:r w:rsidR="00962939" w:rsidRPr="00523D89">
        <w:rPr>
          <w:spacing w:val="-2"/>
        </w:rPr>
        <w:t>’</w:t>
      </w:r>
      <w:r w:rsidR="00622813" w:rsidRPr="00523D89">
        <w:rPr>
          <w:spacing w:val="-2"/>
        </w:rPr>
        <w:t>interno dell</w:t>
      </w:r>
      <w:r w:rsidR="00962939" w:rsidRPr="00523D89">
        <w:rPr>
          <w:spacing w:val="-2"/>
        </w:rPr>
        <w:t>’</w:t>
      </w:r>
      <w:r w:rsidR="00622813" w:rsidRPr="00523D89">
        <w:rPr>
          <w:spacing w:val="-2"/>
        </w:rPr>
        <w:t xml:space="preserve">organizzazione. </w:t>
      </w:r>
    </w:p>
    <w:p w14:paraId="53BFA96E" w14:textId="585212EF" w:rsidR="00A20407" w:rsidRPr="00523D89" w:rsidRDefault="005836BC" w:rsidP="00523D89">
      <w:pPr>
        <w:pStyle w:val="Paragrafoelenco"/>
        <w:widowControl w:val="0"/>
        <w:rPr>
          <w:spacing w:val="-2"/>
        </w:rPr>
      </w:pPr>
      <w:r>
        <w:rPr>
          <w:spacing w:val="-2"/>
        </w:rPr>
        <w:t xml:space="preserve">Per questo </w:t>
      </w:r>
      <w:proofErr w:type="spellStart"/>
      <w:r>
        <w:rPr>
          <w:spacing w:val="-2"/>
        </w:rPr>
        <w:t>Viveracqua</w:t>
      </w:r>
      <w:proofErr w:type="spellEnd"/>
      <w:r>
        <w:rPr>
          <w:spacing w:val="-2"/>
        </w:rPr>
        <w:t xml:space="preserve"> </w:t>
      </w:r>
      <w:r w:rsidR="005E722E">
        <w:rPr>
          <w:spacing w:val="-2"/>
        </w:rPr>
        <w:t>p</w:t>
      </w:r>
      <w:r>
        <w:rPr>
          <w:spacing w:val="-2"/>
        </w:rPr>
        <w:t xml:space="preserve">romuove attivamente, anche tra i gestori soci, </w:t>
      </w:r>
      <w:r w:rsidR="00E0211B" w:rsidRPr="00523D89">
        <w:rPr>
          <w:spacing w:val="-2"/>
        </w:rPr>
        <w:t>la comprensione</w:t>
      </w:r>
      <w:r w:rsidR="00F4137A" w:rsidRPr="00523D89">
        <w:rPr>
          <w:spacing w:val="-2"/>
        </w:rPr>
        <w:t xml:space="preserve"> dei valori, dei doveri e dei processi aziendali, consente</w:t>
      </w:r>
      <w:r>
        <w:rPr>
          <w:spacing w:val="-2"/>
        </w:rPr>
        <w:t>ndo</w:t>
      </w:r>
      <w:r w:rsidR="00F4137A" w:rsidRPr="00523D89">
        <w:rPr>
          <w:spacing w:val="-2"/>
        </w:rPr>
        <w:t xml:space="preserve"> una consapevole partecipazione alle attività lavorative e al tempo stesso stimola</w:t>
      </w:r>
      <w:r>
        <w:rPr>
          <w:spacing w:val="-2"/>
        </w:rPr>
        <w:t>ndo</w:t>
      </w:r>
      <w:r w:rsidR="00E0211B" w:rsidRPr="00523D89">
        <w:rPr>
          <w:spacing w:val="-2"/>
        </w:rPr>
        <w:t xml:space="preserve"> </w:t>
      </w:r>
      <w:r w:rsidR="00F4137A" w:rsidRPr="00523D89">
        <w:rPr>
          <w:spacing w:val="-2"/>
        </w:rPr>
        <w:t xml:space="preserve">lo sviluppo di </w:t>
      </w:r>
      <w:r w:rsidR="00E0211B" w:rsidRPr="00523D89">
        <w:rPr>
          <w:spacing w:val="-2"/>
        </w:rPr>
        <w:t xml:space="preserve">competenze relazionali </w:t>
      </w:r>
      <w:r w:rsidR="00F4137A" w:rsidRPr="00523D89">
        <w:rPr>
          <w:spacing w:val="-2"/>
        </w:rPr>
        <w:t>anche grazie al confronto con la diversità; la considerazione della politica inclusiva e della valorizzazione delle differenze</w:t>
      </w:r>
      <w:r w:rsidR="00E0211B" w:rsidRPr="00523D89">
        <w:rPr>
          <w:spacing w:val="-2"/>
        </w:rPr>
        <w:t xml:space="preserve"> </w:t>
      </w:r>
      <w:r w:rsidR="00622813" w:rsidRPr="00523D89">
        <w:rPr>
          <w:spacing w:val="-2"/>
        </w:rPr>
        <w:t>diventa</w:t>
      </w:r>
      <w:r>
        <w:rPr>
          <w:spacing w:val="-2"/>
        </w:rPr>
        <w:t>ndo</w:t>
      </w:r>
      <w:r w:rsidR="00622813" w:rsidRPr="00523D89">
        <w:rPr>
          <w:spacing w:val="-2"/>
        </w:rPr>
        <w:t xml:space="preserve"> quindi una parte indispensabile </w:t>
      </w:r>
      <w:r w:rsidR="00F4137A" w:rsidRPr="00523D89">
        <w:rPr>
          <w:spacing w:val="-2"/>
        </w:rPr>
        <w:t xml:space="preserve">anche </w:t>
      </w:r>
      <w:r w:rsidR="00622813" w:rsidRPr="00523D89">
        <w:rPr>
          <w:spacing w:val="-2"/>
        </w:rPr>
        <w:t>dell</w:t>
      </w:r>
      <w:r w:rsidR="00F4137A" w:rsidRPr="00523D89">
        <w:rPr>
          <w:spacing w:val="-2"/>
        </w:rPr>
        <w:t>e attività di</w:t>
      </w:r>
      <w:r w:rsidR="00622813" w:rsidRPr="00523D89">
        <w:rPr>
          <w:spacing w:val="-2"/>
        </w:rPr>
        <w:t xml:space="preserve"> formazione </w:t>
      </w:r>
      <w:r>
        <w:rPr>
          <w:spacing w:val="-2"/>
        </w:rPr>
        <w:t>promosse dall’Academy</w:t>
      </w:r>
      <w:r w:rsidR="00622813" w:rsidRPr="00523D89">
        <w:rPr>
          <w:spacing w:val="-2"/>
        </w:rPr>
        <w:t>.</w:t>
      </w:r>
    </w:p>
    <w:p w14:paraId="7AD3B361" w14:textId="3F155F98" w:rsidR="003A1B34" w:rsidRPr="00034C22" w:rsidRDefault="003A1B34" w:rsidP="00523D89">
      <w:pPr>
        <w:pStyle w:val="Paragrafoelenco"/>
        <w:widowControl w:val="0"/>
        <w:rPr>
          <w:rStyle w:val="Enfasigrassetto"/>
          <w:b w:val="0"/>
          <w:bCs w:val="0"/>
        </w:rPr>
      </w:pPr>
      <w:r w:rsidRPr="00034C22">
        <w:t xml:space="preserve">Nel </w:t>
      </w:r>
      <w:r w:rsidR="00066067" w:rsidRPr="00034C22">
        <w:t xml:space="preserve">presente </w:t>
      </w:r>
      <w:r w:rsidRPr="00034C22">
        <w:t xml:space="preserve">documento sono </w:t>
      </w:r>
      <w:r w:rsidR="00066067" w:rsidRPr="00034C22">
        <w:t xml:space="preserve">riassunte </w:t>
      </w:r>
      <w:r w:rsidRPr="00034C22">
        <w:t>le linee guida per la tutela e il sostegno della diversi</w:t>
      </w:r>
      <w:r w:rsidR="00877453" w:rsidRPr="00034C22">
        <w:t>tà e le politiche di inclusione</w:t>
      </w:r>
      <w:r w:rsidR="008F3688" w:rsidRPr="00034C22">
        <w:t>,</w:t>
      </w:r>
      <w:r w:rsidR="00877453" w:rsidRPr="00034C22">
        <w:t xml:space="preserve"> finalizzate </w:t>
      </w:r>
      <w:r w:rsidR="00066067" w:rsidRPr="00034C22">
        <w:t>anche</w:t>
      </w:r>
      <w:r w:rsidR="002F79A3" w:rsidRPr="00034C22">
        <w:t xml:space="preserve"> </w:t>
      </w:r>
      <w:r w:rsidR="00066067" w:rsidRPr="00034C22">
        <w:t>alla generazione</w:t>
      </w:r>
      <w:r w:rsidR="002F79A3" w:rsidRPr="00034C22">
        <w:t xml:space="preserve"> </w:t>
      </w:r>
      <w:r w:rsidR="00F4137A" w:rsidRPr="00034C22">
        <w:t xml:space="preserve">di </w:t>
      </w:r>
      <w:r w:rsidR="002F79A3" w:rsidRPr="00034C22">
        <w:t xml:space="preserve">valore </w:t>
      </w:r>
      <w:r w:rsidR="00F4137A" w:rsidRPr="00034C22">
        <w:t xml:space="preserve">e di efficienza </w:t>
      </w:r>
      <w:r w:rsidR="005836BC">
        <w:t xml:space="preserve">sia </w:t>
      </w:r>
      <w:r w:rsidR="002F79A3" w:rsidRPr="00034C22">
        <w:t>nell</w:t>
      </w:r>
      <w:r w:rsidR="00962939">
        <w:t>’</w:t>
      </w:r>
      <w:r w:rsidR="002F79A3" w:rsidRPr="00034C22">
        <w:t>organizzazione</w:t>
      </w:r>
      <w:r w:rsidR="005836BC">
        <w:t xml:space="preserve"> di </w:t>
      </w:r>
      <w:proofErr w:type="spellStart"/>
      <w:r w:rsidR="005836BC">
        <w:t>Viveracqua</w:t>
      </w:r>
      <w:proofErr w:type="spellEnd"/>
      <w:r w:rsidR="005836BC">
        <w:t xml:space="preserve"> che come spunto per tutti i gestori soci</w:t>
      </w:r>
      <w:r w:rsidR="002F79A3" w:rsidRPr="00034C22">
        <w:t>.</w:t>
      </w:r>
    </w:p>
    <w:p w14:paraId="269588F3" w14:textId="77777777" w:rsidR="000F1AF8" w:rsidRPr="0004672E" w:rsidRDefault="003A1B34" w:rsidP="0004672E">
      <w:pPr>
        <w:pStyle w:val="Titolo1"/>
      </w:pPr>
      <w:bookmarkStart w:id="1" w:name="_Toc143845270"/>
      <w:r w:rsidRPr="0004672E">
        <w:t>2</w:t>
      </w:r>
      <w:r w:rsidRPr="0004672E">
        <w:tab/>
        <w:t>Obiettivi</w:t>
      </w:r>
      <w:bookmarkEnd w:id="1"/>
    </w:p>
    <w:p w14:paraId="51B39DBB" w14:textId="7DCED5F3" w:rsidR="008F3688" w:rsidRPr="003E10E0" w:rsidRDefault="00D4217E" w:rsidP="00523D89">
      <w:pPr>
        <w:pStyle w:val="Paragrafoelenco"/>
        <w:widowControl w:val="0"/>
      </w:pPr>
      <w:r w:rsidRPr="003E10E0">
        <w:t xml:space="preserve">Il traguardo è la </w:t>
      </w:r>
      <w:r w:rsidR="00FA4568" w:rsidRPr="003E10E0">
        <w:t>realizzazione</w:t>
      </w:r>
      <w:r w:rsidRPr="003E10E0">
        <w:t xml:space="preserve"> di </w:t>
      </w:r>
      <w:r w:rsidR="00A4018D" w:rsidRPr="003E10E0">
        <w:t>un ambiente inclusivo per tutti i dipendenti</w:t>
      </w:r>
      <w:r w:rsidR="001A3E48">
        <w:t xml:space="preserve"> di </w:t>
      </w:r>
      <w:proofErr w:type="spellStart"/>
      <w:r w:rsidR="001A3E48">
        <w:t>Viveracqua</w:t>
      </w:r>
      <w:proofErr w:type="spellEnd"/>
      <w:r w:rsidR="001A3E48">
        <w:t xml:space="preserve"> e la promozione dei medesimi valori tra i soci</w:t>
      </w:r>
      <w:r w:rsidR="008F3688" w:rsidRPr="003E10E0">
        <w:t>,</w:t>
      </w:r>
      <w:r w:rsidR="00A4018D" w:rsidRPr="003E10E0">
        <w:t xml:space="preserve"> </w:t>
      </w:r>
      <w:r w:rsidR="008F3688" w:rsidRPr="003E10E0">
        <w:t>attraverso un</w:t>
      </w:r>
      <w:r w:rsidR="003A1B34" w:rsidRPr="003E10E0">
        <w:t xml:space="preserve"> </w:t>
      </w:r>
      <w:r w:rsidR="000F1AF8" w:rsidRPr="003E10E0">
        <w:t xml:space="preserve">processo </w:t>
      </w:r>
      <w:r w:rsidR="008F3688" w:rsidRPr="003E10E0">
        <w:t>continuo,</w:t>
      </w:r>
      <w:r w:rsidR="000F1AF8" w:rsidRPr="003E10E0">
        <w:t xml:space="preserve"> in cui </w:t>
      </w:r>
      <w:r w:rsidR="003A1B34" w:rsidRPr="003E10E0">
        <w:t xml:space="preserve">tutte le attività </w:t>
      </w:r>
      <w:r w:rsidR="000F1AF8" w:rsidRPr="003E10E0">
        <w:t xml:space="preserve">e i percorsi </w:t>
      </w:r>
      <w:r w:rsidR="003A1B34" w:rsidRPr="003E10E0">
        <w:t xml:space="preserve">lavorativi </w:t>
      </w:r>
      <w:r w:rsidR="000F1AF8" w:rsidRPr="003E10E0">
        <w:t xml:space="preserve">devono poter </w:t>
      </w:r>
      <w:r w:rsidR="00066067" w:rsidRPr="003E10E0">
        <w:t xml:space="preserve">considerare efficientemente </w:t>
      </w:r>
      <w:r w:rsidR="000F1AF8" w:rsidRPr="003E10E0">
        <w:t>l</w:t>
      </w:r>
      <w:r w:rsidR="00066067" w:rsidRPr="003E10E0">
        <w:t xml:space="preserve">e differenze di ogni </w:t>
      </w:r>
      <w:r w:rsidR="008F3688" w:rsidRPr="003E10E0">
        <w:t>soggett</w:t>
      </w:r>
      <w:r w:rsidR="00066067" w:rsidRPr="003E10E0">
        <w:t>o</w:t>
      </w:r>
      <w:r w:rsidR="008F3688" w:rsidRPr="003E10E0">
        <w:t>.</w:t>
      </w:r>
    </w:p>
    <w:p w14:paraId="72B6E566" w14:textId="77777777" w:rsidR="000F1AF8" w:rsidRPr="003E10E0" w:rsidRDefault="00066067" w:rsidP="00523D89">
      <w:pPr>
        <w:pStyle w:val="Paragrafoelenco"/>
        <w:widowControl w:val="0"/>
      </w:pPr>
      <w:r w:rsidRPr="003E10E0">
        <w:lastRenderedPageBreak/>
        <w:t>Per una corretta politica inclusiva</w:t>
      </w:r>
      <w:r w:rsidR="000F1AF8" w:rsidRPr="003E10E0">
        <w:t xml:space="preserve"> occorre fare spazio</w:t>
      </w:r>
      <w:r w:rsidR="003A1B34" w:rsidRPr="003E10E0">
        <w:t xml:space="preserve"> </w:t>
      </w:r>
      <w:r w:rsidR="000F1AF8" w:rsidRPr="003E10E0">
        <w:t>alla ricchezza della differenza, adeguando, di volta in volta</w:t>
      </w:r>
      <w:r w:rsidRPr="003E10E0">
        <w:t xml:space="preserve"> e se necessario</w:t>
      </w:r>
      <w:r w:rsidR="000F1AF8" w:rsidRPr="003E10E0">
        <w:t>, gli ambienti</w:t>
      </w:r>
      <w:r w:rsidR="008F3688" w:rsidRPr="003E10E0">
        <w:t xml:space="preserve"> e</w:t>
      </w:r>
      <w:r w:rsidR="000F1AF8" w:rsidRPr="003E10E0">
        <w:t xml:space="preserve"> l</w:t>
      </w:r>
      <w:r w:rsidR="008F3688" w:rsidRPr="003E10E0">
        <w:t>e</w:t>
      </w:r>
      <w:r w:rsidR="000F1AF8" w:rsidRPr="003E10E0">
        <w:t xml:space="preserve"> prassi, </w:t>
      </w:r>
      <w:r w:rsidRPr="003E10E0">
        <w:t xml:space="preserve">ciò nel </w:t>
      </w:r>
      <w:r w:rsidR="008F3688" w:rsidRPr="003E10E0">
        <w:t>rispetto</w:t>
      </w:r>
      <w:r w:rsidR="000F1AF8" w:rsidRPr="003E10E0">
        <w:t xml:space="preserve"> </w:t>
      </w:r>
      <w:r w:rsidRPr="003E10E0">
        <w:t xml:space="preserve">di </w:t>
      </w:r>
      <w:r w:rsidR="000F1AF8" w:rsidRPr="003E10E0">
        <w:t>ogni specifica singolarità.</w:t>
      </w:r>
    </w:p>
    <w:p w14:paraId="6D8B6B6B" w14:textId="77777777" w:rsidR="00555EA9" w:rsidRPr="003E10E0" w:rsidRDefault="00555EA9" w:rsidP="00523D89">
      <w:pPr>
        <w:pStyle w:val="Paragrafoelenco"/>
        <w:widowControl w:val="0"/>
      </w:pPr>
      <w:r w:rsidRPr="003E10E0">
        <w:t xml:space="preserve">Gli obiettivi </w:t>
      </w:r>
      <w:r w:rsidR="00551ABB" w:rsidRPr="003E10E0">
        <w:t>si fondano su questi capisaldi</w:t>
      </w:r>
      <w:r w:rsidRPr="003E10E0">
        <w:t>:</w:t>
      </w:r>
    </w:p>
    <w:p w14:paraId="18A4E155" w14:textId="77777777" w:rsidR="00F93A1F" w:rsidRPr="003E10E0" w:rsidRDefault="00A14FC2" w:rsidP="00523D89">
      <w:pPr>
        <w:pStyle w:val="Paragrafoelenco"/>
        <w:widowControl w:val="0"/>
        <w:numPr>
          <w:ilvl w:val="0"/>
          <w:numId w:val="22"/>
        </w:numPr>
        <w:ind w:left="284" w:hanging="284"/>
      </w:pPr>
      <w:proofErr w:type="gramStart"/>
      <w:r w:rsidRPr="003E10E0">
        <w:t>la</w:t>
      </w:r>
      <w:proofErr w:type="gramEnd"/>
      <w:r w:rsidRPr="003E10E0">
        <w:t xml:space="preserve"> </w:t>
      </w:r>
      <w:r w:rsidR="00F93A1F" w:rsidRPr="003E10E0">
        <w:t>diversità non ha una accezione negativa</w:t>
      </w:r>
      <w:r w:rsidR="00551ABB" w:rsidRPr="003E10E0">
        <w:t>:</w:t>
      </w:r>
      <w:r w:rsidR="00F93A1F" w:rsidRPr="003E10E0">
        <w:t xml:space="preserve"> non è un costo</w:t>
      </w:r>
      <w:r w:rsidR="00555EA9" w:rsidRPr="003E10E0">
        <w:t>,</w:t>
      </w:r>
      <w:r w:rsidR="00F93A1F" w:rsidRPr="003E10E0">
        <w:t xml:space="preserve"> </w:t>
      </w:r>
      <w:r w:rsidR="00551ABB" w:rsidRPr="003E10E0">
        <w:t xml:space="preserve">non è </w:t>
      </w:r>
      <w:r w:rsidR="00F93A1F" w:rsidRPr="003E10E0">
        <w:t>un punto di debolezza</w:t>
      </w:r>
      <w:r w:rsidR="00555EA9" w:rsidRPr="003E10E0">
        <w:t>,</w:t>
      </w:r>
      <w:r w:rsidR="00F93A1F" w:rsidRPr="003E10E0">
        <w:t xml:space="preserve"> n</w:t>
      </w:r>
      <w:r w:rsidR="00555EA9" w:rsidRPr="003E10E0">
        <w:t>é</w:t>
      </w:r>
      <w:r w:rsidR="00F93A1F" w:rsidRPr="003E10E0">
        <w:t xml:space="preserve"> un ostacolo ma</w:t>
      </w:r>
      <w:r w:rsidR="00555EA9" w:rsidRPr="003E10E0">
        <w:t>,</w:t>
      </w:r>
      <w:r w:rsidR="00F93A1F" w:rsidRPr="003E10E0">
        <w:t xml:space="preserve"> </w:t>
      </w:r>
      <w:r w:rsidR="00555EA9" w:rsidRPr="003E10E0">
        <w:t>al contrario, è un</w:t>
      </w:r>
      <w:r w:rsidR="00962939" w:rsidRPr="003E10E0">
        <w:t>’</w:t>
      </w:r>
      <w:r w:rsidR="00F93A1F" w:rsidRPr="003E10E0">
        <w:t>opportunità di miglioramento</w:t>
      </w:r>
      <w:r w:rsidR="00555EA9" w:rsidRPr="003E10E0">
        <w:t>, un</w:t>
      </w:r>
      <w:r w:rsidR="00F93A1F" w:rsidRPr="003E10E0">
        <w:t xml:space="preserve"> valore aggiunto</w:t>
      </w:r>
      <w:r w:rsidR="00066067" w:rsidRPr="003E10E0">
        <w:t xml:space="preserve"> o talvolta</w:t>
      </w:r>
      <w:r w:rsidR="00555EA9" w:rsidRPr="003E10E0">
        <w:t xml:space="preserve"> </w:t>
      </w:r>
      <w:r w:rsidR="00066067" w:rsidRPr="003E10E0">
        <w:t xml:space="preserve">si può rivelare </w:t>
      </w:r>
      <w:r w:rsidR="00555EA9" w:rsidRPr="003E10E0">
        <w:t>un</w:t>
      </w:r>
      <w:r w:rsidR="00F93A1F" w:rsidRPr="003E10E0">
        <w:t xml:space="preserve"> vantaggio</w:t>
      </w:r>
      <w:r w:rsidR="00555EA9" w:rsidRPr="003E10E0">
        <w:t>;</w:t>
      </w:r>
    </w:p>
    <w:p w14:paraId="08653E4B" w14:textId="37CB3B8D" w:rsidR="00F93A1F" w:rsidRPr="003E10E0" w:rsidRDefault="00A14FC2" w:rsidP="00523D89">
      <w:pPr>
        <w:pStyle w:val="Paragrafoelenco"/>
        <w:widowControl w:val="0"/>
        <w:numPr>
          <w:ilvl w:val="0"/>
          <w:numId w:val="22"/>
        </w:numPr>
        <w:ind w:left="284" w:hanging="284"/>
      </w:pPr>
      <w:proofErr w:type="gramStart"/>
      <w:r w:rsidRPr="003E10E0">
        <w:t>la</w:t>
      </w:r>
      <w:proofErr w:type="gramEnd"/>
      <w:r w:rsidRPr="003E10E0">
        <w:t xml:space="preserve"> </w:t>
      </w:r>
      <w:r w:rsidR="00F93A1F" w:rsidRPr="003E10E0">
        <w:t>diversità va riconosciuta</w:t>
      </w:r>
      <w:r w:rsidR="00551ABB" w:rsidRPr="003E10E0">
        <w:t>,</w:t>
      </w:r>
      <w:r w:rsidR="00F93A1F" w:rsidRPr="003E10E0">
        <w:t xml:space="preserve"> accettata</w:t>
      </w:r>
      <w:r w:rsidR="00551ABB" w:rsidRPr="003E10E0">
        <w:t>,</w:t>
      </w:r>
      <w:r w:rsidR="00F93A1F" w:rsidRPr="003E10E0">
        <w:t xml:space="preserve"> valorizzata e integrata</w:t>
      </w:r>
      <w:r w:rsidR="00551ABB" w:rsidRPr="003E10E0">
        <w:t>,</w:t>
      </w:r>
      <w:r w:rsidR="00F93A1F" w:rsidRPr="003E10E0">
        <w:t xml:space="preserve"> </w:t>
      </w:r>
      <w:r w:rsidR="00555EA9" w:rsidRPr="003E10E0">
        <w:t>così da creare</w:t>
      </w:r>
      <w:r w:rsidR="00066067" w:rsidRPr="003E10E0">
        <w:t xml:space="preserve"> valore per </w:t>
      </w:r>
      <w:r w:rsidR="001A3E48">
        <w:t>le aziende</w:t>
      </w:r>
      <w:r w:rsidR="00066067" w:rsidRPr="003E10E0">
        <w:t xml:space="preserve">, nella garanzia dei servizi da erogare, </w:t>
      </w:r>
      <w:r w:rsidR="00962939" w:rsidRPr="003E10E0">
        <w:t>e</w:t>
      </w:r>
      <w:r w:rsidR="00066067" w:rsidRPr="003E10E0">
        <w:t xml:space="preserve"> anche </w:t>
      </w:r>
      <w:r w:rsidR="00F93A1F" w:rsidRPr="003E10E0">
        <w:t xml:space="preserve">per </w:t>
      </w:r>
      <w:r w:rsidR="00555EA9" w:rsidRPr="003E10E0">
        <w:t>le persone che ci lavorano;</w:t>
      </w:r>
    </w:p>
    <w:p w14:paraId="2F137081" w14:textId="77777777" w:rsidR="00F93A1F" w:rsidRPr="003E10E0" w:rsidRDefault="00F4137A" w:rsidP="00523D89">
      <w:pPr>
        <w:pStyle w:val="Paragrafoelenco"/>
        <w:widowControl w:val="0"/>
        <w:numPr>
          <w:ilvl w:val="0"/>
          <w:numId w:val="22"/>
        </w:numPr>
        <w:ind w:left="284" w:hanging="284"/>
        <w:rPr>
          <w:spacing w:val="-4"/>
        </w:rPr>
      </w:pPr>
      <w:proofErr w:type="gramStart"/>
      <w:r w:rsidRPr="003E10E0">
        <w:rPr>
          <w:spacing w:val="-4"/>
        </w:rPr>
        <w:t>la</w:t>
      </w:r>
      <w:proofErr w:type="gramEnd"/>
      <w:r w:rsidRPr="003E10E0">
        <w:rPr>
          <w:spacing w:val="-4"/>
        </w:rPr>
        <w:t xml:space="preserve"> valorizzazione del</w:t>
      </w:r>
      <w:r w:rsidR="00F93A1F" w:rsidRPr="003E10E0">
        <w:rPr>
          <w:spacing w:val="-4"/>
        </w:rPr>
        <w:t>la diversità è un</w:t>
      </w:r>
      <w:r w:rsidR="00962939" w:rsidRPr="003E10E0">
        <w:rPr>
          <w:spacing w:val="-4"/>
        </w:rPr>
        <w:t>’</w:t>
      </w:r>
      <w:r w:rsidR="00F93A1F" w:rsidRPr="003E10E0">
        <w:rPr>
          <w:spacing w:val="-4"/>
        </w:rPr>
        <w:t xml:space="preserve">opportunità, </w:t>
      </w:r>
      <w:r w:rsidR="00066067" w:rsidRPr="003E10E0">
        <w:rPr>
          <w:spacing w:val="-4"/>
        </w:rPr>
        <w:t xml:space="preserve">può rappresentare </w:t>
      </w:r>
      <w:r w:rsidR="00F93A1F" w:rsidRPr="003E10E0">
        <w:rPr>
          <w:spacing w:val="-4"/>
        </w:rPr>
        <w:t>un investimento</w:t>
      </w:r>
      <w:r w:rsidR="00066067" w:rsidRPr="003E10E0">
        <w:rPr>
          <w:spacing w:val="-4"/>
        </w:rPr>
        <w:t xml:space="preserve"> e/o</w:t>
      </w:r>
      <w:r w:rsidR="00F93A1F" w:rsidRPr="003E10E0">
        <w:rPr>
          <w:spacing w:val="-4"/>
        </w:rPr>
        <w:t xml:space="preserve"> uno strum</w:t>
      </w:r>
      <w:r w:rsidR="00555EA9" w:rsidRPr="003E10E0">
        <w:rPr>
          <w:spacing w:val="-4"/>
        </w:rPr>
        <w:t>ento di benessere organizzativo;</w:t>
      </w:r>
    </w:p>
    <w:p w14:paraId="17CFD39E" w14:textId="77777777" w:rsidR="00F93A1F" w:rsidRPr="003E10E0" w:rsidRDefault="00F4137A" w:rsidP="00523D89">
      <w:pPr>
        <w:pStyle w:val="Paragrafoelenco"/>
        <w:widowControl w:val="0"/>
        <w:numPr>
          <w:ilvl w:val="0"/>
          <w:numId w:val="22"/>
        </w:numPr>
        <w:ind w:left="284" w:hanging="284"/>
      </w:pPr>
      <w:proofErr w:type="gramStart"/>
      <w:r w:rsidRPr="003E10E0">
        <w:t>la</w:t>
      </w:r>
      <w:proofErr w:type="gramEnd"/>
      <w:r w:rsidRPr="003E10E0">
        <w:t xml:space="preserve"> creazione di</w:t>
      </w:r>
      <w:r w:rsidR="00A14FC2" w:rsidRPr="003E10E0">
        <w:t xml:space="preserve"> </w:t>
      </w:r>
      <w:r w:rsidR="00555EA9" w:rsidRPr="003E10E0">
        <w:t>un</w:t>
      </w:r>
      <w:r w:rsidR="00F93A1F" w:rsidRPr="003E10E0">
        <w:t xml:space="preserve"> amb</w:t>
      </w:r>
      <w:r w:rsidR="00066067" w:rsidRPr="003E10E0">
        <w:t xml:space="preserve">iente di lavoro improntato </w:t>
      </w:r>
      <w:r w:rsidR="00962939" w:rsidRPr="003E10E0">
        <w:t>a</w:t>
      </w:r>
      <w:r w:rsidR="00066067" w:rsidRPr="003E10E0">
        <w:t xml:space="preserve"> una equilibrata considerazione </w:t>
      </w:r>
      <w:r w:rsidR="00F93A1F" w:rsidRPr="003E10E0">
        <w:t>delle perso</w:t>
      </w:r>
      <w:r w:rsidR="00555EA9" w:rsidRPr="003E10E0">
        <w:t>ne e al benessere organizzativo.</w:t>
      </w:r>
    </w:p>
    <w:p w14:paraId="1AF60435" w14:textId="77777777" w:rsidR="00E55D5E" w:rsidRPr="003E10E0" w:rsidRDefault="00361C6E" w:rsidP="0004672E">
      <w:pPr>
        <w:pStyle w:val="Titolo1"/>
      </w:pPr>
      <w:bookmarkStart w:id="2" w:name="_Toc143845271"/>
      <w:r w:rsidRPr="003E10E0">
        <w:t>3</w:t>
      </w:r>
      <w:r w:rsidR="006B1D51" w:rsidRPr="003E10E0">
        <w:tab/>
      </w:r>
      <w:r w:rsidR="00E55D5E" w:rsidRPr="003E10E0">
        <w:t>L</w:t>
      </w:r>
      <w:r w:rsidR="00962939" w:rsidRPr="003E10E0">
        <w:t>’</w:t>
      </w:r>
      <w:r w:rsidR="00E55D5E" w:rsidRPr="003E10E0">
        <w:t>inclusione come valore</w:t>
      </w:r>
      <w:bookmarkEnd w:id="2"/>
    </w:p>
    <w:p w14:paraId="6B0C1462" w14:textId="48834677" w:rsidR="00E55D5E" w:rsidRPr="003E10E0" w:rsidRDefault="00E55D5E" w:rsidP="00523D89">
      <w:pPr>
        <w:pStyle w:val="Paragrafoelenco"/>
        <w:widowControl w:val="0"/>
      </w:pPr>
      <w:r w:rsidRPr="003E10E0">
        <w:t xml:space="preserve">La presente politica ha lo scopo di </w:t>
      </w:r>
      <w:r w:rsidR="0073239D">
        <w:t xml:space="preserve">favorire, anche tra i soci, </w:t>
      </w:r>
      <w:r w:rsidR="00A96535" w:rsidRPr="003E10E0">
        <w:t>un</w:t>
      </w:r>
      <w:r w:rsidR="00962939" w:rsidRPr="003E10E0">
        <w:t>’</w:t>
      </w:r>
      <w:r w:rsidR="00A96535" w:rsidRPr="003E10E0">
        <w:t xml:space="preserve">apertura </w:t>
      </w:r>
      <w:r w:rsidRPr="003E10E0">
        <w:t xml:space="preserve">culturale e </w:t>
      </w:r>
      <w:r w:rsidR="00D4217E" w:rsidRPr="003E10E0">
        <w:t>un’</w:t>
      </w:r>
      <w:r w:rsidRPr="003E10E0">
        <w:t>organizza</w:t>
      </w:r>
      <w:r w:rsidR="00A96535" w:rsidRPr="003E10E0">
        <w:t>zione</w:t>
      </w:r>
      <w:r w:rsidRPr="003E10E0">
        <w:t xml:space="preserve"> che </w:t>
      </w:r>
      <w:r w:rsidR="00A96535" w:rsidRPr="003E10E0">
        <w:t>comprende alla propria base il principio del</w:t>
      </w:r>
      <w:r w:rsidRPr="003E10E0">
        <w:t>l</w:t>
      </w:r>
      <w:r w:rsidR="00962939" w:rsidRPr="003E10E0">
        <w:t>’</w:t>
      </w:r>
      <w:r w:rsidRPr="003E10E0">
        <w:t xml:space="preserve">inclusione e la valorizzazione delle diversità. </w:t>
      </w:r>
    </w:p>
    <w:p w14:paraId="4976D71B" w14:textId="74DC2483" w:rsidR="00E55D5E" w:rsidRPr="003E10E0" w:rsidRDefault="00E55D5E" w:rsidP="00523D89">
      <w:pPr>
        <w:pStyle w:val="Paragrafoelenco"/>
        <w:widowControl w:val="0"/>
      </w:pPr>
      <w:r w:rsidRPr="003E10E0">
        <w:t>L</w:t>
      </w:r>
      <w:r w:rsidR="00962939" w:rsidRPr="003E10E0">
        <w:t>’</w:t>
      </w:r>
      <w:r w:rsidRPr="003E10E0">
        <w:t xml:space="preserve">obiettivo è quello di </w:t>
      </w:r>
      <w:r w:rsidR="00A96535" w:rsidRPr="003E10E0">
        <w:t xml:space="preserve">disporre di </w:t>
      </w:r>
      <w:r w:rsidRPr="003E10E0">
        <w:t xml:space="preserve">linee guida </w:t>
      </w:r>
      <w:r w:rsidR="00A96535" w:rsidRPr="003E10E0">
        <w:t xml:space="preserve">in grado di </w:t>
      </w:r>
      <w:r w:rsidR="00314964" w:rsidRPr="003E10E0">
        <w:t>generare un approccio che tenga conto</w:t>
      </w:r>
      <w:r w:rsidR="00034C22" w:rsidRPr="003E10E0">
        <w:t xml:space="preserve"> </w:t>
      </w:r>
      <w:r w:rsidRPr="003E10E0">
        <w:t>dell</w:t>
      </w:r>
      <w:r w:rsidR="00962939" w:rsidRPr="003E10E0">
        <w:t>’</w:t>
      </w:r>
      <w:r w:rsidRPr="003E10E0">
        <w:t xml:space="preserve">inclusione </w:t>
      </w:r>
      <w:r w:rsidR="00314964" w:rsidRPr="003E10E0">
        <w:t xml:space="preserve">e ne faccia uno stile di </w:t>
      </w:r>
      <w:r w:rsidR="009211C3">
        <w:t>gestione</w:t>
      </w:r>
      <w:r w:rsidR="00A96535" w:rsidRPr="003E10E0">
        <w:t>;</w:t>
      </w:r>
      <w:r w:rsidRPr="003E10E0">
        <w:t xml:space="preserve"> </w:t>
      </w:r>
      <w:r w:rsidR="00A96535" w:rsidRPr="003E10E0">
        <w:t>lo</w:t>
      </w:r>
      <w:r w:rsidRPr="003E10E0">
        <w:t xml:space="preserve"> scopo </w:t>
      </w:r>
      <w:r w:rsidR="00A96535" w:rsidRPr="003E10E0">
        <w:t>è quello di sviluppare</w:t>
      </w:r>
      <w:r w:rsidRPr="003E10E0">
        <w:t xml:space="preserve"> una nuova sensibilità che sappia apprezzare la diversità e l</w:t>
      </w:r>
      <w:r w:rsidR="00962939" w:rsidRPr="003E10E0">
        <w:t>’</w:t>
      </w:r>
      <w:proofErr w:type="spellStart"/>
      <w:r w:rsidRPr="003E10E0">
        <w:t>inclusività</w:t>
      </w:r>
      <w:proofErr w:type="spellEnd"/>
      <w:r w:rsidR="00A96535" w:rsidRPr="003E10E0">
        <w:t>,</w:t>
      </w:r>
      <w:r w:rsidRPr="003E10E0">
        <w:t xml:space="preserve"> </w:t>
      </w:r>
      <w:r w:rsidR="00D4217E" w:rsidRPr="003E10E0">
        <w:t>includendole</w:t>
      </w:r>
      <w:r w:rsidRPr="003E10E0">
        <w:t xml:space="preserve"> </w:t>
      </w:r>
      <w:r w:rsidR="00A96535" w:rsidRPr="003E10E0">
        <w:t xml:space="preserve">tra i </w:t>
      </w:r>
      <w:r w:rsidRPr="003E10E0">
        <w:t>valori</w:t>
      </w:r>
      <w:r w:rsidR="00A96535" w:rsidRPr="003E10E0">
        <w:t xml:space="preserve"> di riferimento</w:t>
      </w:r>
      <w:r w:rsidRPr="003E10E0">
        <w:t>.</w:t>
      </w:r>
    </w:p>
    <w:p w14:paraId="6F270909" w14:textId="77777777" w:rsidR="00E55D5E" w:rsidRPr="003E10E0" w:rsidRDefault="00E55D5E" w:rsidP="00523D89">
      <w:pPr>
        <w:pStyle w:val="Titolo2"/>
        <w:keepNext w:val="0"/>
      </w:pPr>
      <w:bookmarkStart w:id="3" w:name="_Toc143845272"/>
      <w:r w:rsidRPr="003E10E0">
        <w:t>3.1</w:t>
      </w:r>
      <w:r w:rsidRPr="003E10E0">
        <w:tab/>
        <w:t>Il linguaggio inclusivo</w:t>
      </w:r>
      <w:bookmarkEnd w:id="3"/>
    </w:p>
    <w:p w14:paraId="4792A37E" w14:textId="764CC4ED" w:rsidR="00D4217E" w:rsidRPr="003E10E0" w:rsidRDefault="00E55D5E" w:rsidP="00523D89">
      <w:pPr>
        <w:pStyle w:val="Paragrafoelenco"/>
        <w:widowControl w:val="0"/>
      </w:pPr>
      <w:r w:rsidRPr="003E10E0">
        <w:t xml:space="preserve">Il linguaggio inclusivo </w:t>
      </w:r>
      <w:r w:rsidR="00713D79">
        <w:t>viene promosso come</w:t>
      </w:r>
      <w:r w:rsidR="00A96535" w:rsidRPr="003E10E0">
        <w:t xml:space="preserve"> </w:t>
      </w:r>
      <w:r w:rsidRPr="003E10E0">
        <w:t xml:space="preserve">strumento per </w:t>
      </w:r>
      <w:r w:rsidR="00A96535" w:rsidRPr="003E10E0">
        <w:t>preordinare</w:t>
      </w:r>
      <w:r w:rsidRPr="003E10E0">
        <w:t xml:space="preserve"> inclusione e scardinare dinamiche discriminatorie in azienda. Bisogna allenare le persone a riflettere sul linguaggio utilizzato: determinate espressioni o parole possono essere neutre per alcune persone mentre possono risultare discriminatorie o offensive per altre. Trasmettere la cultura del rispetto, usare un lessico che </w:t>
      </w:r>
      <w:r w:rsidR="00A96535" w:rsidRPr="003E10E0">
        <w:t xml:space="preserve">considera le differenze diviene esso stesso un elemento per </w:t>
      </w:r>
      <w:r w:rsidRPr="003E10E0">
        <w:t>valorizza</w:t>
      </w:r>
      <w:r w:rsidR="00A96535" w:rsidRPr="003E10E0">
        <w:t>re</w:t>
      </w:r>
      <w:r w:rsidRPr="003E10E0">
        <w:t xml:space="preserve"> </w:t>
      </w:r>
      <w:r w:rsidR="00A96535" w:rsidRPr="003E10E0">
        <w:t xml:space="preserve">tutte </w:t>
      </w:r>
      <w:r w:rsidRPr="003E10E0">
        <w:t xml:space="preserve">le persone. </w:t>
      </w:r>
    </w:p>
    <w:p w14:paraId="5F96F11D" w14:textId="77777777" w:rsidR="00E55D5E" w:rsidRPr="003E10E0" w:rsidRDefault="00E55D5E" w:rsidP="00523D89">
      <w:pPr>
        <w:pStyle w:val="Paragrafoelenco"/>
        <w:widowControl w:val="0"/>
      </w:pPr>
      <w:r w:rsidRPr="003E10E0">
        <w:t xml:space="preserve">Questo significa rendere tutti responsabili del linguaggio utilizzato sia </w:t>
      </w:r>
      <w:r w:rsidR="00A96535" w:rsidRPr="003E10E0">
        <w:t>generalmente come</w:t>
      </w:r>
      <w:r w:rsidRPr="003E10E0">
        <w:t xml:space="preserve"> persone sia</w:t>
      </w:r>
      <w:r w:rsidR="00A96535" w:rsidRPr="003E10E0">
        <w:t>,</w:t>
      </w:r>
      <w:r w:rsidRPr="003E10E0">
        <w:t xml:space="preserve"> </w:t>
      </w:r>
      <w:r w:rsidR="00A96535" w:rsidRPr="003E10E0">
        <w:t>soprattutto, all</w:t>
      </w:r>
      <w:r w:rsidR="00962939" w:rsidRPr="003E10E0">
        <w:t>’</w:t>
      </w:r>
      <w:r w:rsidR="00A96535" w:rsidRPr="003E10E0">
        <w:t>interno dell</w:t>
      </w:r>
      <w:r w:rsidR="00962939" w:rsidRPr="003E10E0">
        <w:t>’</w:t>
      </w:r>
      <w:r w:rsidRPr="003E10E0">
        <w:t>organizzazione aziendale.</w:t>
      </w:r>
      <w:r w:rsidR="00A96535" w:rsidRPr="003E10E0">
        <w:t xml:space="preserve"> Il linguaggio</w:t>
      </w:r>
      <w:r w:rsidR="00D4217E" w:rsidRPr="003E10E0">
        <w:t>,</w:t>
      </w:r>
      <w:r w:rsidR="00A96535" w:rsidRPr="003E10E0">
        <w:t xml:space="preserve"> quindi</w:t>
      </w:r>
      <w:r w:rsidR="00D4217E" w:rsidRPr="003E10E0">
        <w:t>,</w:t>
      </w:r>
      <w:r w:rsidR="00A96535" w:rsidRPr="003E10E0">
        <w:t xml:space="preserve"> corrisponde da un lato all</w:t>
      </w:r>
      <w:r w:rsidR="00962939" w:rsidRPr="003E10E0">
        <w:t>’</w:t>
      </w:r>
      <w:r w:rsidR="00A96535" w:rsidRPr="003E10E0">
        <w:t>espressione per comunicare ma è anche una “divisa” ovvero un mezzo per testimoniare la capacità di esercitare il pro</w:t>
      </w:r>
      <w:r w:rsidR="009041C5" w:rsidRPr="003E10E0">
        <w:t>prio ruolo in maniera adeguata.</w:t>
      </w:r>
    </w:p>
    <w:p w14:paraId="3CACC54B" w14:textId="77777777" w:rsidR="00A20407" w:rsidRPr="003E10E0" w:rsidRDefault="00E55D5E" w:rsidP="0004672E">
      <w:pPr>
        <w:pStyle w:val="Titolo1"/>
      </w:pPr>
      <w:bookmarkStart w:id="4" w:name="_Toc143845273"/>
      <w:r w:rsidRPr="003E10E0">
        <w:t>4</w:t>
      </w:r>
      <w:r w:rsidRPr="003E10E0">
        <w:tab/>
      </w:r>
      <w:r w:rsidR="00A20407" w:rsidRPr="003E10E0">
        <w:t>Dimensioni della diversità</w:t>
      </w:r>
      <w:bookmarkEnd w:id="4"/>
      <w:r w:rsidR="00A20407" w:rsidRPr="003E10E0">
        <w:t xml:space="preserve"> </w:t>
      </w:r>
    </w:p>
    <w:p w14:paraId="4B19AD54" w14:textId="77777777" w:rsidR="003A1B34" w:rsidRPr="003E10E0" w:rsidRDefault="003A1B34" w:rsidP="00523D89">
      <w:pPr>
        <w:pStyle w:val="Paragrafoelenco"/>
        <w:widowControl w:val="0"/>
      </w:pPr>
      <w:r w:rsidRPr="003E10E0">
        <w:t xml:space="preserve">Le </w:t>
      </w:r>
      <w:r w:rsidR="00F4137A" w:rsidRPr="003E10E0">
        <w:t xml:space="preserve">principali </w:t>
      </w:r>
      <w:r w:rsidRPr="003E10E0">
        <w:t xml:space="preserve">dimensioni della diversità nei luoghi di lavoro </w:t>
      </w:r>
      <w:r w:rsidR="00D4217E" w:rsidRPr="003E10E0">
        <w:t>possono essere costituite da</w:t>
      </w:r>
      <w:r w:rsidRPr="003E10E0">
        <w:t>:</w:t>
      </w:r>
    </w:p>
    <w:p w14:paraId="331B5C9D" w14:textId="77777777" w:rsidR="00A20407" w:rsidRPr="003E10E0" w:rsidRDefault="00A14FC2" w:rsidP="0004672E">
      <w:pPr>
        <w:pStyle w:val="Paragrafoelenco"/>
        <w:widowControl w:val="0"/>
        <w:numPr>
          <w:ilvl w:val="0"/>
          <w:numId w:val="22"/>
        </w:numPr>
        <w:spacing w:before="40"/>
        <w:ind w:left="284" w:hanging="284"/>
      </w:pPr>
      <w:proofErr w:type="gramStart"/>
      <w:r w:rsidRPr="003E10E0">
        <w:t>genere</w:t>
      </w:r>
      <w:proofErr w:type="gramEnd"/>
      <w:r w:rsidR="00F4137A" w:rsidRPr="003E10E0">
        <w:t>;</w:t>
      </w:r>
    </w:p>
    <w:p w14:paraId="3BBCB87F" w14:textId="77777777" w:rsidR="00A20407" w:rsidRPr="003E10E0" w:rsidRDefault="00A14FC2" w:rsidP="0004672E">
      <w:pPr>
        <w:pStyle w:val="Paragrafoelenco"/>
        <w:widowControl w:val="0"/>
        <w:numPr>
          <w:ilvl w:val="0"/>
          <w:numId w:val="22"/>
        </w:numPr>
        <w:spacing w:before="40"/>
        <w:ind w:left="284" w:hanging="284"/>
      </w:pPr>
      <w:proofErr w:type="gramStart"/>
      <w:r w:rsidRPr="003E10E0">
        <w:t>disabilità</w:t>
      </w:r>
      <w:proofErr w:type="gramEnd"/>
      <w:r w:rsidR="00E66CC3" w:rsidRPr="003E10E0">
        <w:t>;</w:t>
      </w:r>
    </w:p>
    <w:p w14:paraId="51FEA239" w14:textId="77777777" w:rsidR="00A20407" w:rsidRPr="003E10E0" w:rsidRDefault="00A14FC2" w:rsidP="0004672E">
      <w:pPr>
        <w:pStyle w:val="Paragrafoelenco"/>
        <w:widowControl w:val="0"/>
        <w:numPr>
          <w:ilvl w:val="0"/>
          <w:numId w:val="22"/>
        </w:numPr>
        <w:spacing w:before="40"/>
        <w:ind w:left="284" w:hanging="284"/>
      </w:pPr>
      <w:proofErr w:type="gramStart"/>
      <w:r w:rsidRPr="003E10E0">
        <w:t>credo</w:t>
      </w:r>
      <w:proofErr w:type="gramEnd"/>
      <w:r w:rsidRPr="003E10E0">
        <w:t xml:space="preserve"> religioso</w:t>
      </w:r>
      <w:r w:rsidR="00E66CC3" w:rsidRPr="003E10E0">
        <w:t>;</w:t>
      </w:r>
    </w:p>
    <w:p w14:paraId="30A2467D" w14:textId="77777777" w:rsidR="00A20407" w:rsidRPr="003E10E0" w:rsidRDefault="00A14FC2" w:rsidP="0004672E">
      <w:pPr>
        <w:pStyle w:val="Paragrafoelenco"/>
        <w:widowControl w:val="0"/>
        <w:numPr>
          <w:ilvl w:val="0"/>
          <w:numId w:val="22"/>
        </w:numPr>
        <w:spacing w:before="40"/>
        <w:ind w:left="284" w:hanging="284"/>
      </w:pPr>
      <w:proofErr w:type="gramStart"/>
      <w:r w:rsidRPr="003E10E0">
        <w:t>età</w:t>
      </w:r>
      <w:proofErr w:type="gramEnd"/>
      <w:r w:rsidRPr="003E10E0">
        <w:t xml:space="preserve"> e differenza generazionale</w:t>
      </w:r>
      <w:r w:rsidR="00E66CC3" w:rsidRPr="003E10E0">
        <w:t>;</w:t>
      </w:r>
    </w:p>
    <w:p w14:paraId="5C7704D2" w14:textId="77777777" w:rsidR="00A20407" w:rsidRPr="003E10E0" w:rsidRDefault="00A14FC2" w:rsidP="0004672E">
      <w:pPr>
        <w:pStyle w:val="Paragrafoelenco"/>
        <w:widowControl w:val="0"/>
        <w:numPr>
          <w:ilvl w:val="0"/>
          <w:numId w:val="22"/>
        </w:numPr>
        <w:spacing w:before="40"/>
        <w:ind w:left="284" w:hanging="284"/>
      </w:pPr>
      <w:proofErr w:type="gramStart"/>
      <w:r w:rsidRPr="003E10E0">
        <w:t>orientamento</w:t>
      </w:r>
      <w:proofErr w:type="gramEnd"/>
      <w:r w:rsidRPr="003E10E0">
        <w:t xml:space="preserve"> sessuale</w:t>
      </w:r>
      <w:r w:rsidR="00E66CC3" w:rsidRPr="003E10E0">
        <w:t>;</w:t>
      </w:r>
      <w:r w:rsidRPr="003E10E0">
        <w:t xml:space="preserve"> </w:t>
      </w:r>
    </w:p>
    <w:p w14:paraId="5D00DD34" w14:textId="77777777" w:rsidR="00A20407" w:rsidRPr="003E10E0" w:rsidRDefault="00A14FC2" w:rsidP="0004672E">
      <w:pPr>
        <w:pStyle w:val="Paragrafoelenco"/>
        <w:widowControl w:val="0"/>
        <w:numPr>
          <w:ilvl w:val="0"/>
          <w:numId w:val="22"/>
        </w:numPr>
        <w:spacing w:before="40"/>
        <w:ind w:left="284" w:hanging="284"/>
      </w:pPr>
      <w:proofErr w:type="gramStart"/>
      <w:r w:rsidRPr="003E10E0">
        <w:t>origine</w:t>
      </w:r>
      <w:proofErr w:type="gramEnd"/>
      <w:r w:rsidRPr="003E10E0">
        <w:t xml:space="preserve"> etnica</w:t>
      </w:r>
      <w:r w:rsidR="00E66CC3" w:rsidRPr="003E10E0">
        <w:t>.</w:t>
      </w:r>
    </w:p>
    <w:p w14:paraId="053309D5" w14:textId="0D38356B" w:rsidR="00A20407" w:rsidRPr="003E10E0" w:rsidRDefault="000909DF" w:rsidP="00523D89">
      <w:pPr>
        <w:pStyle w:val="Titolo2"/>
        <w:keepNext w:val="0"/>
      </w:pPr>
      <w:bookmarkStart w:id="5" w:name="_Toc143845274"/>
      <w:r>
        <w:t>4</w:t>
      </w:r>
      <w:r w:rsidR="00B00D56" w:rsidRPr="003E10E0">
        <w:t>.1</w:t>
      </w:r>
      <w:r w:rsidR="00B00D56" w:rsidRPr="003E10E0">
        <w:tab/>
      </w:r>
      <w:r w:rsidR="00551ABB" w:rsidRPr="003E10E0">
        <w:t>Genere</w:t>
      </w:r>
      <w:bookmarkEnd w:id="5"/>
    </w:p>
    <w:p w14:paraId="120CE01D" w14:textId="77777777" w:rsidR="00551ABB" w:rsidRPr="003E10E0" w:rsidRDefault="00E66CC3" w:rsidP="00523D89">
      <w:pPr>
        <w:pStyle w:val="Paragrafoelenco"/>
        <w:widowControl w:val="0"/>
      </w:pPr>
      <w:r w:rsidRPr="003E10E0">
        <w:t>Anche all</w:t>
      </w:r>
      <w:r w:rsidR="00962939" w:rsidRPr="003E10E0">
        <w:t>’</w:t>
      </w:r>
      <w:r w:rsidRPr="003E10E0">
        <w:t>interno dell</w:t>
      </w:r>
      <w:r w:rsidR="00962939" w:rsidRPr="003E10E0">
        <w:t>’</w:t>
      </w:r>
      <w:r w:rsidRPr="003E10E0">
        <w:t>organizzazione aziendale, l</w:t>
      </w:r>
      <w:r w:rsidR="00A20407" w:rsidRPr="003E10E0">
        <w:t xml:space="preserve">e differenze di genere </w:t>
      </w:r>
      <w:r w:rsidRPr="003E10E0">
        <w:t>possono costituire</w:t>
      </w:r>
      <w:r w:rsidR="00A20407" w:rsidRPr="003E10E0">
        <w:t xml:space="preserve"> una risorsa e vanno riconosciute e valorizzate per trarre massimo beneficio dalle potenzialità d</w:t>
      </w:r>
      <w:r w:rsidR="00523749" w:rsidRPr="003E10E0">
        <w:t xml:space="preserve">i tutto il personale. La </w:t>
      </w:r>
      <w:r w:rsidR="00523749" w:rsidRPr="003E10E0">
        <w:lastRenderedPageBreak/>
        <w:t xml:space="preserve">valorizzazione delle </w:t>
      </w:r>
      <w:r w:rsidR="00A20407" w:rsidRPr="003E10E0">
        <w:t xml:space="preserve">differenze di genere </w:t>
      </w:r>
      <w:r w:rsidR="00523749" w:rsidRPr="003E10E0">
        <w:t>può</w:t>
      </w:r>
      <w:r w:rsidR="00A20407" w:rsidRPr="003E10E0">
        <w:t xml:space="preserve"> </w:t>
      </w:r>
      <w:r w:rsidR="00523749" w:rsidRPr="003E10E0">
        <w:t xml:space="preserve">concorrere a </w:t>
      </w:r>
      <w:r w:rsidR="00A20407" w:rsidRPr="003E10E0">
        <w:t>promuove</w:t>
      </w:r>
      <w:r w:rsidR="00523749" w:rsidRPr="003E10E0">
        <w:t>re</w:t>
      </w:r>
      <w:r w:rsidR="00A20407" w:rsidRPr="003E10E0">
        <w:t xml:space="preserve"> una maggiore </w:t>
      </w:r>
      <w:r w:rsidR="00523749" w:rsidRPr="003E10E0">
        <w:t>equità</w:t>
      </w:r>
      <w:r w:rsidRPr="003E10E0">
        <w:t xml:space="preserve"> sociale</w:t>
      </w:r>
      <w:r w:rsidR="00A20407" w:rsidRPr="003E10E0">
        <w:t xml:space="preserve"> </w:t>
      </w:r>
      <w:r w:rsidR="00523749" w:rsidRPr="003E10E0">
        <w:t>all</w:t>
      </w:r>
      <w:r w:rsidR="00962939" w:rsidRPr="003E10E0">
        <w:t>’</w:t>
      </w:r>
      <w:r w:rsidR="00523749" w:rsidRPr="003E10E0">
        <w:t>interno dell</w:t>
      </w:r>
      <w:r w:rsidR="00962939" w:rsidRPr="003E10E0">
        <w:t>’</w:t>
      </w:r>
      <w:r w:rsidR="00523749" w:rsidRPr="003E10E0">
        <w:t xml:space="preserve">organizzazione aziendale </w:t>
      </w:r>
      <w:r w:rsidRPr="003E10E0">
        <w:t xml:space="preserve">ed </w:t>
      </w:r>
      <w:r w:rsidR="00523749" w:rsidRPr="003E10E0">
        <w:t xml:space="preserve">essa si può concretizzare </w:t>
      </w:r>
      <w:r w:rsidRPr="003E10E0">
        <w:t xml:space="preserve">comunque nel rispetto delle esistenti </w:t>
      </w:r>
      <w:r w:rsidR="00A20407" w:rsidRPr="003E10E0">
        <w:t>politiche meritocratiche</w:t>
      </w:r>
      <w:r w:rsidR="00551ABB" w:rsidRPr="003E10E0">
        <w:t>,</w:t>
      </w:r>
      <w:r w:rsidR="00A20407" w:rsidRPr="003E10E0">
        <w:t xml:space="preserve"> </w:t>
      </w:r>
      <w:r w:rsidRPr="003E10E0">
        <w:t>già impostate n</w:t>
      </w:r>
      <w:r w:rsidR="00523749" w:rsidRPr="003E10E0">
        <w:t>e</w:t>
      </w:r>
      <w:r w:rsidRPr="003E10E0">
        <w:t>l</w:t>
      </w:r>
      <w:r w:rsidR="00523749" w:rsidRPr="003E10E0">
        <w:t xml:space="preserve"> dare </w:t>
      </w:r>
      <w:r w:rsidR="00A20407" w:rsidRPr="003E10E0">
        <w:t>le medesime oppor</w:t>
      </w:r>
      <w:r w:rsidR="00551ABB" w:rsidRPr="003E10E0">
        <w:t xml:space="preserve">tunità </w:t>
      </w:r>
      <w:r w:rsidR="00523749" w:rsidRPr="003E10E0">
        <w:t>a tutti gli individui.</w:t>
      </w:r>
    </w:p>
    <w:p w14:paraId="12FE60B3" w14:textId="02036322" w:rsidR="00551ABB" w:rsidRDefault="00713D79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="00E66CC3" w:rsidRPr="003E10E0">
        <w:t xml:space="preserve"> </w:t>
      </w:r>
      <w:r w:rsidR="00523749" w:rsidRPr="003E10E0">
        <w:t xml:space="preserve">garantisce </w:t>
      </w:r>
      <w:r w:rsidR="00E66CC3" w:rsidRPr="003E10E0">
        <w:t>all</w:t>
      </w:r>
      <w:r w:rsidR="00962939" w:rsidRPr="003E10E0">
        <w:t>’</w:t>
      </w:r>
      <w:r w:rsidR="00E66CC3" w:rsidRPr="003E10E0">
        <w:t xml:space="preserve">interno della propria organizzazione </w:t>
      </w:r>
      <w:r w:rsidR="00A20407" w:rsidRPr="003E10E0">
        <w:t>politiche e azioni volte a favorire le pari opportunità, la conciliazione tra tempi di vita e tempi di lavoro e la promozione di strumenti di flessibilità</w:t>
      </w:r>
      <w:r w:rsidR="00551ABB" w:rsidRPr="003E10E0">
        <w:t>.</w:t>
      </w:r>
    </w:p>
    <w:p w14:paraId="43D0744A" w14:textId="7FC8D852" w:rsidR="00B45457" w:rsidRPr="003E10E0" w:rsidRDefault="00713D79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Pr="003E10E0">
        <w:t xml:space="preserve"> </w:t>
      </w:r>
      <w:r w:rsidR="00B45457" w:rsidRPr="00410796">
        <w:t>garantisce che i generi siano equamente rappresentati tra i relatori del panel di tavole rotonde, eventi, convegni o altri eventi anche di carattere scientifico.</w:t>
      </w:r>
    </w:p>
    <w:p w14:paraId="2F0A1CBE" w14:textId="77777777" w:rsidR="00A20407" w:rsidRPr="003E10E0" w:rsidRDefault="00175BD6" w:rsidP="00523D89">
      <w:pPr>
        <w:pStyle w:val="Paragrafoelenco"/>
        <w:widowControl w:val="0"/>
      </w:pPr>
      <w:r w:rsidRPr="003E10E0">
        <w:t>C</w:t>
      </w:r>
      <w:r w:rsidR="00A20407" w:rsidRPr="003E10E0">
        <w:t xml:space="preserve">ampagne di sensibilizzazione </w:t>
      </w:r>
      <w:r w:rsidRPr="003E10E0">
        <w:t>e attività formativa sono quindi necessarie sia per</w:t>
      </w:r>
      <w:r w:rsidR="00A20407" w:rsidRPr="003E10E0">
        <w:t xml:space="preserve"> rimuovere </w:t>
      </w:r>
      <w:r w:rsidRPr="003E10E0">
        <w:t>eventuali</w:t>
      </w:r>
      <w:r w:rsidR="00A20407" w:rsidRPr="003E10E0">
        <w:t xml:space="preserve"> stereotipi legati al genere </w:t>
      </w:r>
      <w:r w:rsidR="00F7491B" w:rsidRPr="003E10E0">
        <w:t>che per attuare</w:t>
      </w:r>
      <w:r w:rsidR="00E66CC3" w:rsidRPr="003E10E0">
        <w:t xml:space="preserve"> politiche </w:t>
      </w:r>
      <w:r w:rsidR="00F7491B" w:rsidRPr="003E10E0">
        <w:t>volte a</w:t>
      </w:r>
      <w:r w:rsidR="00E66CC3" w:rsidRPr="003E10E0">
        <w:t xml:space="preserve"> non </w:t>
      </w:r>
      <w:r w:rsidR="00F7491B" w:rsidRPr="003E10E0">
        <w:t>ostacolare</w:t>
      </w:r>
      <w:r w:rsidR="00E66CC3" w:rsidRPr="003E10E0">
        <w:t xml:space="preserve"> eventuali</w:t>
      </w:r>
      <w:r w:rsidR="00B00D56" w:rsidRPr="003E10E0">
        <w:t xml:space="preserve"> percorsi di carriera</w:t>
      </w:r>
      <w:r w:rsidR="00E66CC3" w:rsidRPr="003E10E0">
        <w:t xml:space="preserve"> o </w:t>
      </w:r>
      <w:r w:rsidR="00F7491B" w:rsidRPr="003E10E0">
        <w:t xml:space="preserve">a provocare </w:t>
      </w:r>
      <w:r w:rsidR="00035EFE" w:rsidRPr="003E10E0">
        <w:t xml:space="preserve">differenze nei </w:t>
      </w:r>
      <w:r w:rsidR="00E66CC3" w:rsidRPr="003E10E0">
        <w:t>trattamenti econom</w:t>
      </w:r>
      <w:r w:rsidR="00035EFE" w:rsidRPr="003E10E0">
        <w:t>ici causati dal genere</w:t>
      </w:r>
      <w:r w:rsidR="00B00D56" w:rsidRPr="003E10E0">
        <w:t>.</w:t>
      </w:r>
    </w:p>
    <w:p w14:paraId="31FD610B" w14:textId="25C5F936" w:rsidR="00B00D56" w:rsidRPr="003E10E0" w:rsidRDefault="000909DF" w:rsidP="00523D89">
      <w:pPr>
        <w:pStyle w:val="Titolo2"/>
        <w:keepNext w:val="0"/>
      </w:pPr>
      <w:bookmarkStart w:id="6" w:name="_Toc143845275"/>
      <w:r>
        <w:t>4</w:t>
      </w:r>
      <w:r w:rsidR="00B00D56" w:rsidRPr="003E10E0">
        <w:t>.2</w:t>
      </w:r>
      <w:r w:rsidR="00B00D56" w:rsidRPr="003E10E0">
        <w:tab/>
        <w:t>Disabilità</w:t>
      </w:r>
      <w:bookmarkEnd w:id="6"/>
    </w:p>
    <w:p w14:paraId="6080A96D" w14:textId="77777777" w:rsidR="00551ABB" w:rsidRPr="003E10E0" w:rsidRDefault="00B00D56" w:rsidP="00523D89">
      <w:pPr>
        <w:pStyle w:val="Paragrafoelenco"/>
        <w:widowControl w:val="0"/>
      </w:pPr>
      <w:r w:rsidRPr="003E10E0">
        <w:t xml:space="preserve">Le risposte alla disabilità </w:t>
      </w:r>
      <w:r w:rsidR="00551ABB" w:rsidRPr="003E10E0">
        <w:t>si coniugano su due fronti:</w:t>
      </w:r>
    </w:p>
    <w:p w14:paraId="42F0B0E9" w14:textId="571FBAA6" w:rsidR="00551ABB" w:rsidRPr="003E10E0" w:rsidRDefault="00D4217E" w:rsidP="00523D89">
      <w:pPr>
        <w:pStyle w:val="Paragrafoelenco"/>
        <w:widowControl w:val="0"/>
        <w:numPr>
          <w:ilvl w:val="0"/>
          <w:numId w:val="22"/>
        </w:numPr>
        <w:ind w:left="284" w:hanging="284"/>
      </w:pPr>
      <w:proofErr w:type="gramStart"/>
      <w:r w:rsidRPr="003E10E0">
        <w:t>il</w:t>
      </w:r>
      <w:proofErr w:type="gramEnd"/>
      <w:r w:rsidRPr="003E10E0">
        <w:t xml:space="preserve"> primo</w:t>
      </w:r>
      <w:r w:rsidR="00B00D56" w:rsidRPr="003E10E0">
        <w:t xml:space="preserve"> legato allo stato fisico del luogo di lavoro, che comprende la verifica relativa alle sistemazioni necessarie per le persone con disabilità, anche attraverso</w:t>
      </w:r>
      <w:r w:rsidR="00E66CC3" w:rsidRPr="003E10E0">
        <w:t xml:space="preserve"> </w:t>
      </w:r>
      <w:r w:rsidRPr="003E10E0">
        <w:t xml:space="preserve">l’adozione </w:t>
      </w:r>
      <w:r w:rsidR="00E66CC3" w:rsidRPr="003E10E0">
        <w:t>di eventuali</w:t>
      </w:r>
      <w:r w:rsidR="00B00D56" w:rsidRPr="003E10E0">
        <w:t xml:space="preserve"> tecnologi</w:t>
      </w:r>
      <w:r w:rsidR="00E66CC3" w:rsidRPr="003E10E0">
        <w:t>e</w:t>
      </w:r>
      <w:r w:rsidR="00B00D56" w:rsidRPr="003E10E0">
        <w:t xml:space="preserve"> </w:t>
      </w:r>
      <w:r w:rsidR="00E66CC3" w:rsidRPr="003E10E0">
        <w:t xml:space="preserve">disponibili per abbattere o ridurre </w:t>
      </w:r>
      <w:r w:rsidR="00713D79">
        <w:t xml:space="preserve">i limiti legati ad </w:t>
      </w:r>
      <w:r w:rsidR="00B00D56" w:rsidRPr="003E10E0">
        <w:t xml:space="preserve">alcune </w:t>
      </w:r>
      <w:r w:rsidR="00536335" w:rsidRPr="003E10E0">
        <w:t>disabilità;</w:t>
      </w:r>
    </w:p>
    <w:p w14:paraId="26BFAD38" w14:textId="56F60DD2" w:rsidR="001D2A97" w:rsidRPr="00FE6D62" w:rsidRDefault="00D4217E" w:rsidP="003453BA">
      <w:pPr>
        <w:pStyle w:val="Paragrafoelenco"/>
        <w:widowControl w:val="0"/>
        <w:numPr>
          <w:ilvl w:val="0"/>
          <w:numId w:val="22"/>
        </w:numPr>
        <w:spacing w:after="160" w:line="259" w:lineRule="auto"/>
        <w:ind w:left="284" w:hanging="284"/>
        <w:rPr>
          <w:rFonts w:ascii="Gill Sans MT" w:eastAsia="ヒラギノ角ゴ Pro W3" w:hAnsi="Gill Sans MT"/>
          <w:b/>
          <w:color w:val="3E6575"/>
          <w:sz w:val="24"/>
          <w:szCs w:val="24"/>
          <w:lang w:eastAsia="it-IT"/>
        </w:rPr>
      </w:pPr>
      <w:proofErr w:type="gramStart"/>
      <w:r w:rsidRPr="003E10E0">
        <w:t>il</w:t>
      </w:r>
      <w:proofErr w:type="gramEnd"/>
      <w:r w:rsidRPr="003E10E0">
        <w:t xml:space="preserve"> secondo relativo al</w:t>
      </w:r>
      <w:r w:rsidR="00B00D56" w:rsidRPr="003E10E0">
        <w:t>l</w:t>
      </w:r>
      <w:r w:rsidR="00962939" w:rsidRPr="003E10E0">
        <w:t>’</w:t>
      </w:r>
      <w:r w:rsidR="00B00D56" w:rsidRPr="003E10E0">
        <w:t>atteggiamento</w:t>
      </w:r>
      <w:r w:rsidR="00E66CC3" w:rsidRPr="003E10E0">
        <w:t xml:space="preserve"> posseduto</w:t>
      </w:r>
      <w:r w:rsidR="00536335" w:rsidRPr="003E10E0">
        <w:t xml:space="preserve">. </w:t>
      </w:r>
      <w:r w:rsidR="00551ABB" w:rsidRPr="003E10E0">
        <w:t>M</w:t>
      </w:r>
      <w:r w:rsidR="00536335" w:rsidRPr="003E10E0">
        <w:t xml:space="preserve">olte </w:t>
      </w:r>
      <w:r w:rsidR="00E66CC3" w:rsidRPr="003E10E0">
        <w:t xml:space="preserve">persone provano </w:t>
      </w:r>
      <w:r w:rsidR="00B00D56" w:rsidRPr="003E10E0">
        <w:t xml:space="preserve">disagio </w:t>
      </w:r>
      <w:r w:rsidR="00536335" w:rsidRPr="003E10E0">
        <w:t xml:space="preserve">di fronte a </w:t>
      </w:r>
      <w:r w:rsidR="00B00D56" w:rsidRPr="003E10E0">
        <w:t>persone disabili e oltre un terzo delle persone tendono a pensare alle persone disabili non come produttive</w:t>
      </w:r>
      <w:r w:rsidR="00551ABB" w:rsidRPr="003E10E0">
        <w:t>, per questo diverse dagli</w:t>
      </w:r>
      <w:r w:rsidR="00B00D56" w:rsidRPr="003E10E0">
        <w:t xml:space="preserve"> altri.</w:t>
      </w:r>
      <w:r w:rsidR="00685635" w:rsidRPr="003E10E0">
        <w:t xml:space="preserve"> </w:t>
      </w:r>
      <w:proofErr w:type="spellStart"/>
      <w:r w:rsidR="00713D79">
        <w:t>Viveracqua</w:t>
      </w:r>
      <w:proofErr w:type="spellEnd"/>
      <w:r w:rsidR="00713D79" w:rsidRPr="003E10E0">
        <w:t xml:space="preserve"> </w:t>
      </w:r>
      <w:r w:rsidR="00E66CC3" w:rsidRPr="003E10E0">
        <w:t xml:space="preserve">si impegna ad </w:t>
      </w:r>
      <w:r w:rsidR="00A20407" w:rsidRPr="003E10E0">
        <w:t>accompagnare le persone disabili (sia in fase di assunzione</w:t>
      </w:r>
      <w:r w:rsidR="00E66CC3" w:rsidRPr="003E10E0">
        <w:t>,</w:t>
      </w:r>
      <w:r w:rsidR="00A20407" w:rsidRPr="003E10E0">
        <w:t xml:space="preserve"> sia nel caso in cui la disabilità si manifesti in seguito </w:t>
      </w:r>
      <w:r w:rsidR="005E6666" w:rsidRPr="003E10E0">
        <w:t>a causa di malattia o infortuni</w:t>
      </w:r>
      <w:r w:rsidR="00A14FC2" w:rsidRPr="003E10E0">
        <w:t xml:space="preserve">) lungo un percorso di </w:t>
      </w:r>
      <w:r w:rsidR="00C74C0E" w:rsidRPr="003E10E0">
        <w:t xml:space="preserve">accrescimento delle proprie capacità e qualità </w:t>
      </w:r>
      <w:r w:rsidR="00A20407" w:rsidRPr="003E10E0">
        <w:t>professionale, contribuendo così a trasformare le potenzialità della persona disabile in op</w:t>
      </w:r>
      <w:r w:rsidR="00A47FF8" w:rsidRPr="003E10E0">
        <w:t>portunità per l</w:t>
      </w:r>
      <w:r w:rsidR="00962939" w:rsidRPr="003E10E0">
        <w:t>’</w:t>
      </w:r>
      <w:r w:rsidR="00A47FF8" w:rsidRPr="003E10E0">
        <w:t>organizzazione.</w:t>
      </w:r>
    </w:p>
    <w:p w14:paraId="2264F744" w14:textId="214D5BA6" w:rsidR="005E6666" w:rsidRPr="003E10E0" w:rsidRDefault="000909DF" w:rsidP="00523D89">
      <w:pPr>
        <w:pStyle w:val="Titolo2"/>
        <w:keepNext w:val="0"/>
      </w:pPr>
      <w:bookmarkStart w:id="7" w:name="_Toc143845276"/>
      <w:r>
        <w:t>4</w:t>
      </w:r>
      <w:r w:rsidR="005E6666" w:rsidRPr="003E10E0">
        <w:t>.3</w:t>
      </w:r>
      <w:r w:rsidR="005E6666" w:rsidRPr="003E10E0">
        <w:tab/>
      </w:r>
      <w:r w:rsidR="00A20407" w:rsidRPr="003E10E0">
        <w:t>Credo religioso</w:t>
      </w:r>
      <w:bookmarkEnd w:id="7"/>
    </w:p>
    <w:p w14:paraId="166EAED7" w14:textId="04F05EF5" w:rsidR="00D4217E" w:rsidRPr="003E10E0" w:rsidRDefault="00713D79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Pr="003E10E0">
        <w:t xml:space="preserve"> </w:t>
      </w:r>
      <w:r w:rsidR="005E6666" w:rsidRPr="003E10E0">
        <w:t xml:space="preserve">si propone di </w:t>
      </w:r>
      <w:r w:rsidR="00A20407" w:rsidRPr="003E10E0">
        <w:t xml:space="preserve">creare </w:t>
      </w:r>
      <w:r w:rsidR="00B930E0">
        <w:t xml:space="preserve">al suo interno, e promuovere tra i soci, </w:t>
      </w:r>
      <w:r w:rsidR="00A20407" w:rsidRPr="003E10E0">
        <w:t>un ambiente di lavoro sicuro</w:t>
      </w:r>
      <w:r w:rsidR="00551ABB" w:rsidRPr="003E10E0">
        <w:t>, attraverso</w:t>
      </w:r>
      <w:r w:rsidR="00A20407" w:rsidRPr="003E10E0">
        <w:t xml:space="preserve"> pratiche e politiche del lavoro flessibili</w:t>
      </w:r>
      <w:r w:rsidR="00551ABB" w:rsidRPr="003E10E0">
        <w:t>,</w:t>
      </w:r>
      <w:r w:rsidR="00A20407" w:rsidRPr="003E10E0">
        <w:t xml:space="preserve"> per supportare i dipendenti che abbiano esigenze legate alle </w:t>
      </w:r>
      <w:r w:rsidR="00E66CC3" w:rsidRPr="003E10E0">
        <w:t xml:space="preserve">proprie </w:t>
      </w:r>
      <w:r w:rsidR="005E6666" w:rsidRPr="003E10E0">
        <w:t>religio</w:t>
      </w:r>
      <w:r w:rsidR="00D4217E" w:rsidRPr="003E10E0">
        <w:t>ni</w:t>
      </w:r>
      <w:r w:rsidR="005E6666" w:rsidRPr="003E10E0">
        <w:t xml:space="preserve">, contribuendo </w:t>
      </w:r>
      <w:r w:rsidR="00A20407" w:rsidRPr="003E10E0">
        <w:t xml:space="preserve">a promuovere il rispetto </w:t>
      </w:r>
      <w:r w:rsidR="005E6666" w:rsidRPr="003E10E0">
        <w:t>e la dignità di ogni persona.</w:t>
      </w:r>
      <w:r w:rsidR="00E66CC3" w:rsidRPr="003E10E0">
        <w:t xml:space="preserve"> </w:t>
      </w:r>
    </w:p>
    <w:p w14:paraId="2F363E5B" w14:textId="285CF6EE" w:rsidR="00A20407" w:rsidRPr="003E10E0" w:rsidRDefault="00E66CC3" w:rsidP="00523D89">
      <w:pPr>
        <w:pStyle w:val="Paragrafoelenco"/>
        <w:widowControl w:val="0"/>
      </w:pPr>
      <w:r w:rsidRPr="00C506C7">
        <w:t>Tali iniziative sono da reperirsi all</w:t>
      </w:r>
      <w:r w:rsidR="00962939" w:rsidRPr="00C506C7">
        <w:t>’</w:t>
      </w:r>
      <w:r w:rsidRPr="00C506C7">
        <w:t xml:space="preserve">interno degli strumenti contrattuali di primo e di secondo livello vigenti, nonché alle prassi o alle modalità di gestione del lavoro e dei servizi, impegnandosi a </w:t>
      </w:r>
      <w:r w:rsidR="00D4217E" w:rsidRPr="00C506C7">
        <w:t>individuare</w:t>
      </w:r>
      <w:r w:rsidRPr="00C506C7">
        <w:t xml:space="preserve"> percorsi compatibili con le esigenze aziendali e di servizio.</w:t>
      </w:r>
    </w:p>
    <w:p w14:paraId="4F02F124" w14:textId="36D2F32F" w:rsidR="005E6666" w:rsidRPr="003E10E0" w:rsidRDefault="000909DF" w:rsidP="00523D89">
      <w:pPr>
        <w:pStyle w:val="Titolo2"/>
        <w:keepNext w:val="0"/>
      </w:pPr>
      <w:bookmarkStart w:id="8" w:name="_Toc143845277"/>
      <w:r>
        <w:t>4</w:t>
      </w:r>
      <w:r w:rsidR="005E6666" w:rsidRPr="003E10E0">
        <w:t>.4</w:t>
      </w:r>
      <w:r w:rsidR="005E6666" w:rsidRPr="003E10E0">
        <w:tab/>
      </w:r>
      <w:r w:rsidR="00A20407" w:rsidRPr="003E10E0">
        <w:t>E</w:t>
      </w:r>
      <w:r w:rsidR="005E6666" w:rsidRPr="003E10E0">
        <w:t>tà e differenza generazionale</w:t>
      </w:r>
      <w:bookmarkEnd w:id="8"/>
    </w:p>
    <w:p w14:paraId="3EE9C1E1" w14:textId="77777777" w:rsidR="00511C3F" w:rsidRPr="003E10E0" w:rsidRDefault="005E6666" w:rsidP="00523D89">
      <w:pPr>
        <w:pStyle w:val="Paragrafoelenco"/>
        <w:widowControl w:val="0"/>
      </w:pPr>
      <w:r w:rsidRPr="003E10E0">
        <w:t>È vero</w:t>
      </w:r>
      <w:r w:rsidR="005D2909" w:rsidRPr="003E10E0">
        <w:t>simile</w:t>
      </w:r>
      <w:r w:rsidRPr="003E10E0">
        <w:t xml:space="preserve"> che persone di età </w:t>
      </w:r>
      <w:r w:rsidR="00551ABB" w:rsidRPr="003E10E0">
        <w:t>differente</w:t>
      </w:r>
      <w:r w:rsidRPr="003E10E0">
        <w:t xml:space="preserve"> tend</w:t>
      </w:r>
      <w:r w:rsidR="00511C3F" w:rsidRPr="003E10E0">
        <w:t>a</w:t>
      </w:r>
      <w:r w:rsidRPr="003E10E0">
        <w:t xml:space="preserve">no a pensare diversamente e </w:t>
      </w:r>
      <w:r w:rsidR="00511C3F" w:rsidRPr="003E10E0">
        <w:t>abbiano</w:t>
      </w:r>
      <w:r w:rsidRPr="003E10E0">
        <w:t xml:space="preserve"> esperienze </w:t>
      </w:r>
      <w:r w:rsidR="00551ABB" w:rsidRPr="003E10E0">
        <w:t>di vita che possono essere</w:t>
      </w:r>
      <w:r w:rsidRPr="003E10E0">
        <w:t xml:space="preserve"> </w:t>
      </w:r>
      <w:r w:rsidR="00551ABB" w:rsidRPr="003E10E0">
        <w:t>dissimili.</w:t>
      </w:r>
      <w:r w:rsidR="005D2909" w:rsidRPr="003E10E0">
        <w:t xml:space="preserve"> </w:t>
      </w:r>
      <w:r w:rsidR="00551ABB" w:rsidRPr="003E10E0">
        <w:t>È</w:t>
      </w:r>
      <w:r w:rsidRPr="003E10E0">
        <w:t xml:space="preserve"> necessario </w:t>
      </w:r>
      <w:r w:rsidR="005D2909" w:rsidRPr="003E10E0">
        <w:t xml:space="preserve">individuare prassi </w:t>
      </w:r>
      <w:r w:rsidR="00A20407" w:rsidRPr="003E10E0">
        <w:t>per lo sviluppo e la gestione delle differenti generazioni all</w:t>
      </w:r>
      <w:r w:rsidR="00962939" w:rsidRPr="003E10E0">
        <w:t>’</w:t>
      </w:r>
      <w:r w:rsidR="00A20407" w:rsidRPr="003E10E0">
        <w:t>interno dell</w:t>
      </w:r>
      <w:r w:rsidR="00962939" w:rsidRPr="003E10E0">
        <w:t>’</w:t>
      </w:r>
      <w:r w:rsidR="00A20407" w:rsidRPr="003E10E0">
        <w:t>organizzazione</w:t>
      </w:r>
      <w:r w:rsidR="005D2909" w:rsidRPr="003E10E0">
        <w:t xml:space="preserve"> </w:t>
      </w:r>
      <w:r w:rsidR="00A20407" w:rsidRPr="003E10E0">
        <w:t>sviluppando politiche che favorisc</w:t>
      </w:r>
      <w:r w:rsidRPr="003E10E0">
        <w:t>ano il dialogo generazionale.</w:t>
      </w:r>
      <w:r w:rsidR="00A20407" w:rsidRPr="003E10E0">
        <w:t xml:space="preserve"> </w:t>
      </w:r>
      <w:r w:rsidR="005D2909" w:rsidRPr="003E10E0">
        <w:t>All</w:t>
      </w:r>
      <w:r w:rsidR="00962939" w:rsidRPr="003E10E0">
        <w:t>’</w:t>
      </w:r>
      <w:r w:rsidR="005D2909" w:rsidRPr="003E10E0">
        <w:t>interno dell</w:t>
      </w:r>
      <w:r w:rsidR="00962939" w:rsidRPr="003E10E0">
        <w:t>’</w:t>
      </w:r>
      <w:r w:rsidR="005D2909" w:rsidRPr="003E10E0">
        <w:t xml:space="preserve">organizzazione aziendale questo genere di differenza può essere presente, da un </w:t>
      </w:r>
      <w:r w:rsidR="00511C3F" w:rsidRPr="003E10E0">
        <w:t>lato</w:t>
      </w:r>
      <w:r w:rsidR="005D2909" w:rsidRPr="003E10E0">
        <w:t xml:space="preserve"> per effetto dell</w:t>
      </w:r>
      <w:r w:rsidR="00962939" w:rsidRPr="003E10E0">
        <w:t>’</w:t>
      </w:r>
      <w:r w:rsidR="00A20407" w:rsidRPr="003E10E0">
        <w:t>innalzamento dell</w:t>
      </w:r>
      <w:r w:rsidR="00962939" w:rsidRPr="003E10E0">
        <w:t>’</w:t>
      </w:r>
      <w:r w:rsidR="00A20407" w:rsidRPr="003E10E0">
        <w:t>età pensionabile</w:t>
      </w:r>
      <w:r w:rsidR="005D2909" w:rsidRPr="003E10E0">
        <w:t xml:space="preserve"> e dell</w:t>
      </w:r>
      <w:r w:rsidR="00962939" w:rsidRPr="003E10E0">
        <w:t>’</w:t>
      </w:r>
      <w:r w:rsidR="005D2909" w:rsidRPr="003E10E0">
        <w:t>allungamento delle aspettative di vita e quindi anche delle carriere e dell</w:t>
      </w:r>
      <w:r w:rsidR="00962939" w:rsidRPr="003E10E0">
        <w:t>’</w:t>
      </w:r>
      <w:r w:rsidR="00511C3F" w:rsidRPr="003E10E0">
        <w:t xml:space="preserve">anzianità di servizio, dall’altro </w:t>
      </w:r>
      <w:r w:rsidR="005D2909" w:rsidRPr="003E10E0">
        <w:t xml:space="preserve">per effetto di inserimenti di personale a qualunque livello e di qualunque età. </w:t>
      </w:r>
    </w:p>
    <w:p w14:paraId="28BF9960" w14:textId="77777777" w:rsidR="001C7C4F" w:rsidRPr="003E10E0" w:rsidRDefault="005D2909" w:rsidP="00523D89">
      <w:pPr>
        <w:pStyle w:val="Paragrafoelenco"/>
        <w:widowControl w:val="0"/>
      </w:pPr>
      <w:r w:rsidRPr="003E10E0">
        <w:t xml:space="preserve">Ciò comporta possibili </w:t>
      </w:r>
      <w:r w:rsidR="00A20407" w:rsidRPr="003E10E0">
        <w:t xml:space="preserve">cambiamenti </w:t>
      </w:r>
      <w:r w:rsidRPr="003E10E0">
        <w:t xml:space="preserve">dei metodi organizzativi </w:t>
      </w:r>
      <w:r w:rsidR="00A20407" w:rsidRPr="003E10E0">
        <w:t>legati sia a problemi di compatibilità con alcune mansioni che richiedono</w:t>
      </w:r>
      <w:r w:rsidRPr="003E10E0">
        <w:t xml:space="preserve"> prevalente impegno </w:t>
      </w:r>
      <w:r w:rsidR="00A20407" w:rsidRPr="003E10E0">
        <w:t>fisico</w:t>
      </w:r>
      <w:r w:rsidRPr="003E10E0">
        <w:t xml:space="preserve"> nel lavoro </w:t>
      </w:r>
      <w:r w:rsidR="00034C22" w:rsidRPr="003E10E0">
        <w:t>–</w:t>
      </w:r>
      <w:r w:rsidR="00A20407" w:rsidRPr="003E10E0">
        <w:t xml:space="preserve"> </w:t>
      </w:r>
      <w:r w:rsidRPr="003E10E0">
        <w:t xml:space="preserve">peraltro esistono già strumenti di gestione contrattuale e nelle prassi determinate dai documenti di valutazione rischi sulla sicurezza del lavoro </w:t>
      </w:r>
      <w:r w:rsidR="00034C22" w:rsidRPr="003E10E0">
        <w:t>–</w:t>
      </w:r>
      <w:r w:rsidRPr="003E10E0">
        <w:t xml:space="preserve"> </w:t>
      </w:r>
      <w:r w:rsidR="00A20407" w:rsidRPr="003E10E0">
        <w:t>sia a dinamiche relazionali tra gene</w:t>
      </w:r>
      <w:r w:rsidRPr="003E10E0">
        <w:t xml:space="preserve">razioni </w:t>
      </w:r>
      <w:r w:rsidR="001C7C4F" w:rsidRPr="003E10E0">
        <w:t>diverse tra loro</w:t>
      </w:r>
      <w:r w:rsidRPr="003E10E0">
        <w:t xml:space="preserve">, dove invece il principale obiettivo è di ridurre </w:t>
      </w:r>
      <w:r w:rsidR="00511C3F" w:rsidRPr="003E10E0">
        <w:t>l’</w:t>
      </w:r>
      <w:r w:rsidRPr="003E10E0">
        <w:t xml:space="preserve">eventuale alterità dialogica, se di ostacolo al lavoro cooperativo o </w:t>
      </w:r>
      <w:r w:rsidR="00511C3F" w:rsidRPr="003E10E0">
        <w:t>portatore</w:t>
      </w:r>
      <w:r w:rsidRPr="003E10E0">
        <w:t xml:space="preserve"> di barriere</w:t>
      </w:r>
      <w:r w:rsidR="001C7C4F" w:rsidRPr="003E10E0">
        <w:t>.</w:t>
      </w:r>
    </w:p>
    <w:p w14:paraId="596BBA09" w14:textId="5970DED6" w:rsidR="00A20407" w:rsidRPr="003E10E0" w:rsidRDefault="00EC6AEB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Pr="003E10E0">
        <w:t xml:space="preserve"> </w:t>
      </w:r>
      <w:r w:rsidR="005D2909" w:rsidRPr="003E10E0">
        <w:t xml:space="preserve">può quindi </w:t>
      </w:r>
      <w:r w:rsidR="00A20407" w:rsidRPr="003E10E0">
        <w:t>promuove</w:t>
      </w:r>
      <w:r w:rsidR="005D2909" w:rsidRPr="003E10E0">
        <w:t>re</w:t>
      </w:r>
      <w:r w:rsidR="00B930E0">
        <w:t>,</w:t>
      </w:r>
      <w:r w:rsidR="00A20407" w:rsidRPr="003E10E0">
        <w:t xml:space="preserve"> </w:t>
      </w:r>
      <w:r w:rsidR="00B930E0">
        <w:t xml:space="preserve">anche tra i soci, </w:t>
      </w:r>
      <w:r w:rsidR="00A20407" w:rsidRPr="003E10E0">
        <w:t>percorsi formativi adeguati e pratiche di trasferimento intergenerazionale delle conoscenze e competenze</w:t>
      </w:r>
      <w:r w:rsidR="001C7C4F" w:rsidRPr="003E10E0">
        <w:t>,</w:t>
      </w:r>
      <w:r w:rsidR="00A20407" w:rsidRPr="003E10E0">
        <w:t xml:space="preserve"> per gar</w:t>
      </w:r>
      <w:r w:rsidR="005D2909" w:rsidRPr="003E10E0">
        <w:t xml:space="preserve">antire le giuste opportunità </w:t>
      </w:r>
      <w:r>
        <w:t>di dialogo</w:t>
      </w:r>
      <w:r w:rsidR="005D2909" w:rsidRPr="003E10E0">
        <w:t xml:space="preserve">, </w:t>
      </w:r>
      <w:r w:rsidR="005D2909" w:rsidRPr="003E10E0">
        <w:lastRenderedPageBreak/>
        <w:t>cooperative, di trasferimento delle conoscenze</w:t>
      </w:r>
      <w:r w:rsidR="00511C3F" w:rsidRPr="003E10E0">
        <w:t>,</w:t>
      </w:r>
      <w:r w:rsidR="005D2909" w:rsidRPr="003E10E0">
        <w:t xml:space="preserve"> tutte fonte di crescita e sviluppo professionale</w:t>
      </w:r>
      <w:r w:rsidR="005E6666" w:rsidRPr="003E10E0">
        <w:t>.</w:t>
      </w:r>
    </w:p>
    <w:p w14:paraId="14CCD406" w14:textId="7C40B68E" w:rsidR="005C26B3" w:rsidRPr="003E10E0" w:rsidRDefault="000909DF" w:rsidP="00523D89">
      <w:pPr>
        <w:pStyle w:val="Titolo2"/>
        <w:keepNext w:val="0"/>
      </w:pPr>
      <w:bookmarkStart w:id="9" w:name="_Toc143845278"/>
      <w:r>
        <w:t>4</w:t>
      </w:r>
      <w:r w:rsidR="00361C6E" w:rsidRPr="003E10E0">
        <w:t>.5</w:t>
      </w:r>
      <w:r w:rsidR="00361C6E" w:rsidRPr="003E10E0">
        <w:tab/>
      </w:r>
      <w:r w:rsidR="00EF4A05" w:rsidRPr="003E10E0">
        <w:t>Orientamento sessuale</w:t>
      </w:r>
      <w:bookmarkEnd w:id="9"/>
    </w:p>
    <w:p w14:paraId="10EE9B1C" w14:textId="77777777" w:rsidR="005B54F0" w:rsidRPr="003E10E0" w:rsidRDefault="005C26B3" w:rsidP="00523D89">
      <w:pPr>
        <w:pStyle w:val="Paragrafoelenco"/>
        <w:widowControl w:val="0"/>
      </w:pPr>
      <w:r w:rsidRPr="003E10E0">
        <w:t>L</w:t>
      </w:r>
      <w:r w:rsidR="00962939" w:rsidRPr="003E10E0">
        <w:t>’</w:t>
      </w:r>
      <w:r w:rsidR="00EF4A05" w:rsidRPr="003E10E0">
        <w:t>orientamento</w:t>
      </w:r>
      <w:r w:rsidRPr="003E10E0">
        <w:t xml:space="preserve"> sessuale è una questione intrinsecamente personale</w:t>
      </w:r>
      <w:r w:rsidR="00EF4A05" w:rsidRPr="003E10E0">
        <w:t xml:space="preserve">. </w:t>
      </w:r>
    </w:p>
    <w:p w14:paraId="2CC14C1A" w14:textId="3B83C042" w:rsidR="00A20407" w:rsidRPr="003E10E0" w:rsidRDefault="00EC6AEB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Pr="003E10E0">
        <w:t xml:space="preserve"> </w:t>
      </w:r>
      <w:r w:rsidR="00F53660" w:rsidRPr="003E10E0">
        <w:t>può garantire</w:t>
      </w:r>
      <w:r w:rsidR="00A20407" w:rsidRPr="003E10E0">
        <w:t xml:space="preserve"> </w:t>
      </w:r>
      <w:r w:rsidR="00B930E0">
        <w:t xml:space="preserve">e promuovere tra i soci </w:t>
      </w:r>
      <w:r w:rsidR="00A20407" w:rsidRPr="003E10E0">
        <w:t xml:space="preserve">un ambiente di </w:t>
      </w:r>
      <w:r w:rsidR="00F53660" w:rsidRPr="003E10E0">
        <w:t xml:space="preserve">lavoro </w:t>
      </w:r>
      <w:r w:rsidR="00A20407" w:rsidRPr="003E10E0">
        <w:t>non discrimina</w:t>
      </w:r>
      <w:r w:rsidR="00F53660" w:rsidRPr="003E10E0">
        <w:t xml:space="preserve">nte </w:t>
      </w:r>
      <w:r w:rsidR="00A20407" w:rsidRPr="003E10E0">
        <w:t>in base alle preferenze ses</w:t>
      </w:r>
      <w:r w:rsidR="001C7C4F" w:rsidRPr="003E10E0">
        <w:t>suali e alle identità di genere</w:t>
      </w:r>
      <w:r w:rsidR="00F53660" w:rsidRPr="003E10E0">
        <w:t>. Ciò è comunque da inquadrare all</w:t>
      </w:r>
      <w:r w:rsidR="00962939" w:rsidRPr="003E10E0">
        <w:t>’</w:t>
      </w:r>
      <w:r w:rsidR="00F53660" w:rsidRPr="003E10E0">
        <w:t>interno dell</w:t>
      </w:r>
      <w:r w:rsidR="00962939" w:rsidRPr="003E10E0">
        <w:t>’</w:t>
      </w:r>
      <w:r w:rsidR="00F53660" w:rsidRPr="003E10E0">
        <w:t>organizzazione aziendale rappresentandosi il massimo rispetto interpersonale come elemento di garanzia, peraltro anche ricompreso in norme e leggi vigenti per quanto traslabili, all</w:t>
      </w:r>
      <w:r w:rsidR="00962939" w:rsidRPr="003E10E0">
        <w:t>’</w:t>
      </w:r>
      <w:r w:rsidR="00F53660" w:rsidRPr="003E10E0">
        <w:t>occorrenza, anche nell</w:t>
      </w:r>
      <w:r w:rsidR="00962939" w:rsidRPr="003E10E0">
        <w:t>’</w:t>
      </w:r>
      <w:r w:rsidR="00F53660" w:rsidRPr="003E10E0">
        <w:t xml:space="preserve">applicazione degli </w:t>
      </w:r>
      <w:r w:rsidR="00F53660" w:rsidRPr="007C1D74">
        <w:t>strumenti di garanzia e disciplina previsti da</w:t>
      </w:r>
      <w:r w:rsidR="00C40F57" w:rsidRPr="007C1D74">
        <w:t>l contratto</w:t>
      </w:r>
      <w:r w:rsidR="00F53660" w:rsidRPr="007C1D74">
        <w:t xml:space="preserve"> applicat</w:t>
      </w:r>
      <w:r w:rsidR="00C40F57" w:rsidRPr="007C1D74">
        <w:t>o</w:t>
      </w:r>
      <w:r w:rsidR="007C1D74" w:rsidRPr="007C1D74">
        <w:t>.</w:t>
      </w:r>
    </w:p>
    <w:p w14:paraId="0E914D80" w14:textId="2AE5D8AF" w:rsidR="005C26B3" w:rsidRPr="003E10E0" w:rsidRDefault="000909DF" w:rsidP="00523D89">
      <w:pPr>
        <w:pStyle w:val="Titolo2"/>
        <w:keepNext w:val="0"/>
        <w:ind w:left="0" w:firstLine="0"/>
      </w:pPr>
      <w:bookmarkStart w:id="10" w:name="_Toc143845279"/>
      <w:r>
        <w:t>4</w:t>
      </w:r>
      <w:r w:rsidR="005C26B3" w:rsidRPr="003E10E0">
        <w:t>.6</w:t>
      </w:r>
      <w:r w:rsidR="005C26B3" w:rsidRPr="003E10E0">
        <w:tab/>
      </w:r>
      <w:r w:rsidR="00A20407" w:rsidRPr="003E10E0">
        <w:t>Origine etnica e culturale</w:t>
      </w:r>
      <w:bookmarkEnd w:id="10"/>
    </w:p>
    <w:p w14:paraId="7756E8FC" w14:textId="6D48AC8B" w:rsidR="00034C22" w:rsidRPr="003E10E0" w:rsidRDefault="00C40F57" w:rsidP="0004672E">
      <w:pPr>
        <w:pStyle w:val="Paragrafoelenco"/>
        <w:widowControl w:val="0"/>
      </w:pPr>
      <w:proofErr w:type="spellStart"/>
      <w:r>
        <w:t>Viveracqua</w:t>
      </w:r>
      <w:proofErr w:type="spellEnd"/>
      <w:r w:rsidRPr="003E10E0">
        <w:t xml:space="preserve"> </w:t>
      </w:r>
      <w:r w:rsidR="00D24E6E" w:rsidRPr="003E10E0">
        <w:t>promuove</w:t>
      </w:r>
      <w:r w:rsidR="005B54F0" w:rsidRPr="003E10E0">
        <w:t xml:space="preserve"> </w:t>
      </w:r>
      <w:r>
        <w:t xml:space="preserve">al suo interno e tra i gestori soci </w:t>
      </w:r>
      <w:r w:rsidR="00A20407" w:rsidRPr="003E10E0">
        <w:t>buone prassi nella gestione delle relazioni tra più culture all</w:t>
      </w:r>
      <w:r w:rsidR="00962939" w:rsidRPr="003E10E0">
        <w:t>’</w:t>
      </w:r>
      <w:r w:rsidR="00A20407" w:rsidRPr="003E10E0">
        <w:t>interno dell</w:t>
      </w:r>
      <w:r w:rsidR="00962939" w:rsidRPr="003E10E0">
        <w:t>’</w:t>
      </w:r>
      <w:r w:rsidR="00A20407" w:rsidRPr="003E10E0">
        <w:t xml:space="preserve">organizzazione, </w:t>
      </w:r>
      <w:r w:rsidR="001C7C4F" w:rsidRPr="003E10E0">
        <w:t>cooperazione</w:t>
      </w:r>
      <w:r w:rsidR="00D24E6E" w:rsidRPr="003E10E0">
        <w:t>, multicultural</w:t>
      </w:r>
      <w:r w:rsidR="001C7C4F" w:rsidRPr="003E10E0">
        <w:t>ità</w:t>
      </w:r>
      <w:r w:rsidR="00D24E6E" w:rsidRPr="003E10E0">
        <w:t>,</w:t>
      </w:r>
      <w:r w:rsidR="00A20407" w:rsidRPr="003E10E0">
        <w:t xml:space="preserve"> </w:t>
      </w:r>
      <w:r w:rsidR="001C7C4F" w:rsidRPr="003E10E0">
        <w:t>comprensione e rispetto</w:t>
      </w:r>
      <w:r w:rsidR="00A20407" w:rsidRPr="003E10E0">
        <w:t xml:space="preserve"> dei bisogni del personale straniero</w:t>
      </w:r>
      <w:r w:rsidR="00F53660" w:rsidRPr="003E10E0">
        <w:t>. L</w:t>
      </w:r>
      <w:r w:rsidR="00962939" w:rsidRPr="003E10E0">
        <w:t>’</w:t>
      </w:r>
      <w:r w:rsidR="00F53660" w:rsidRPr="003E10E0">
        <w:t xml:space="preserve">origine etnica non è di per sé un elemento di discriminazione ma una differenza che può essere riconosciuta e superata </w:t>
      </w:r>
      <w:r w:rsidR="00A20407" w:rsidRPr="003E10E0">
        <w:t xml:space="preserve">anche attraverso </w:t>
      </w:r>
      <w:r w:rsidR="001C7C4F" w:rsidRPr="003E10E0">
        <w:t>il supporto di</w:t>
      </w:r>
      <w:r w:rsidR="00A20407" w:rsidRPr="003E10E0">
        <w:t xml:space="preserve"> </w:t>
      </w:r>
      <w:r w:rsidR="00D24E6E" w:rsidRPr="003E10E0">
        <w:t>mediatori culturali</w:t>
      </w:r>
      <w:r w:rsidR="00F53660" w:rsidRPr="003E10E0">
        <w:t xml:space="preserve"> o di </w:t>
      </w:r>
      <w:r w:rsidR="00511C3F" w:rsidRPr="003E10E0">
        <w:t>azioni di facilitazione per un’</w:t>
      </w:r>
      <w:r w:rsidR="00F53660" w:rsidRPr="003E10E0">
        <w:t>efficace integrazione all</w:t>
      </w:r>
      <w:r w:rsidR="00962939" w:rsidRPr="003E10E0">
        <w:t>’</w:t>
      </w:r>
      <w:r w:rsidR="00F53660" w:rsidRPr="003E10E0">
        <w:t xml:space="preserve">interno </w:t>
      </w:r>
      <w:r>
        <w:t>delle organizzazioni aziendali</w:t>
      </w:r>
      <w:r w:rsidR="00F53660" w:rsidRPr="003E10E0">
        <w:t>.</w:t>
      </w:r>
    </w:p>
    <w:p w14:paraId="5C35024F" w14:textId="54E44F95" w:rsidR="00A20407" w:rsidRPr="003E10E0" w:rsidRDefault="000909DF" w:rsidP="000909DF">
      <w:pPr>
        <w:pStyle w:val="Titolo1"/>
      </w:pPr>
      <w:bookmarkStart w:id="11" w:name="_Toc143845280"/>
      <w:r>
        <w:t>5</w:t>
      </w:r>
      <w:r>
        <w:tab/>
      </w:r>
      <w:r w:rsidR="00002785">
        <w:t>L’etica</w:t>
      </w:r>
      <w:r w:rsidR="00873D67" w:rsidRPr="003E10E0">
        <w:t xml:space="preserve"> e le pari opportunità</w:t>
      </w:r>
      <w:bookmarkEnd w:id="11"/>
    </w:p>
    <w:p w14:paraId="78A666CA" w14:textId="5FD6DAD3" w:rsidR="001C7C4F" w:rsidRPr="003E10E0" w:rsidRDefault="00002785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="00F53660" w:rsidRPr="003E10E0">
        <w:t xml:space="preserve"> </w:t>
      </w:r>
      <w:r w:rsidR="002E5082" w:rsidRPr="003E10E0">
        <w:t>si impegna a rispettare i diritti, l</w:t>
      </w:r>
      <w:r w:rsidR="00962939" w:rsidRPr="003E10E0">
        <w:t>’</w:t>
      </w:r>
      <w:r w:rsidR="002E5082" w:rsidRPr="003E10E0">
        <w:t xml:space="preserve">integrità fisica, culturale e morale di tutte le persone </w:t>
      </w:r>
      <w:r w:rsidR="00F53660" w:rsidRPr="003E10E0">
        <w:t>che appartengono o rappresentano l</w:t>
      </w:r>
      <w:r w:rsidR="00962939" w:rsidRPr="003E10E0">
        <w:t>’</w:t>
      </w:r>
      <w:r w:rsidR="00F53660" w:rsidRPr="003E10E0">
        <w:t xml:space="preserve">organizzazione aziendale </w:t>
      </w:r>
      <w:r w:rsidR="00F7491B" w:rsidRPr="003E10E0">
        <w:t xml:space="preserve">e di tutti coloro i quali con le stesse </w:t>
      </w:r>
      <w:r w:rsidR="002E5082" w:rsidRPr="003E10E0">
        <w:t>si relaziona</w:t>
      </w:r>
      <w:r w:rsidR="00F53660" w:rsidRPr="003E10E0">
        <w:t>no</w:t>
      </w:r>
      <w:r w:rsidR="002E5082" w:rsidRPr="003E10E0">
        <w:t>.</w:t>
      </w:r>
      <w:r>
        <w:t xml:space="preserve"> Promuove tra i soci i medesimi principi.</w:t>
      </w:r>
    </w:p>
    <w:p w14:paraId="22C24846" w14:textId="4812882C" w:rsidR="002E5082" w:rsidRPr="003E10E0" w:rsidRDefault="002E5082" w:rsidP="00523D89">
      <w:pPr>
        <w:pStyle w:val="Paragrafoelenco"/>
        <w:widowControl w:val="0"/>
      </w:pPr>
      <w:r w:rsidRPr="003E10E0">
        <w:t xml:space="preserve">La centralità della Persona si esprime in particolare attraverso la </w:t>
      </w:r>
      <w:r w:rsidR="00F53660" w:rsidRPr="003E10E0">
        <w:t xml:space="preserve">corretta </w:t>
      </w:r>
      <w:r w:rsidRPr="003E10E0">
        <w:t xml:space="preserve">valorizzazione </w:t>
      </w:r>
      <w:r w:rsidR="00F53660" w:rsidRPr="003E10E0">
        <w:t>delle attività dirett</w:t>
      </w:r>
      <w:r w:rsidR="00511C3F" w:rsidRPr="003E10E0">
        <w:t>e</w:t>
      </w:r>
      <w:r w:rsidR="00F53660" w:rsidRPr="003E10E0">
        <w:t xml:space="preserve"> o </w:t>
      </w:r>
      <w:r w:rsidRPr="003E10E0">
        <w:t>dei collaboratori (siano essi dipendenti o lega</w:t>
      </w:r>
      <w:r w:rsidR="001C7C4F" w:rsidRPr="003E10E0">
        <w:t xml:space="preserve">ti da altro rapporto di lavoro), </w:t>
      </w:r>
      <w:r w:rsidRPr="003E10E0">
        <w:t xml:space="preserve">così come la loro partecipazione attiva alla vita </w:t>
      </w:r>
      <w:r w:rsidR="00002785">
        <w:t>del consorzio</w:t>
      </w:r>
      <w:r w:rsidRPr="003E10E0">
        <w:t>.</w:t>
      </w:r>
    </w:p>
    <w:p w14:paraId="125B66B2" w14:textId="4B179629" w:rsidR="001C7C4F" w:rsidRPr="003E10E0" w:rsidRDefault="00002785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="007D66CC" w:rsidRPr="003E10E0">
        <w:t>,</w:t>
      </w:r>
      <w:r w:rsidR="002E5082" w:rsidRPr="003E10E0">
        <w:t xml:space="preserve"> evita</w:t>
      </w:r>
      <w:r w:rsidR="007D66CC" w:rsidRPr="003E10E0">
        <w:t>ndo</w:t>
      </w:r>
      <w:r w:rsidR="002E5082" w:rsidRPr="003E10E0">
        <w:t xml:space="preserve"> ogni discriminazione in base all</w:t>
      </w:r>
      <w:r w:rsidR="00962939" w:rsidRPr="003E10E0">
        <w:t>’</w:t>
      </w:r>
      <w:r w:rsidR="002E5082" w:rsidRPr="003E10E0">
        <w:t xml:space="preserve">età, al sesso, alla sessualità, allo stato di salute, alla razza, alla nazionalità, alle opinioni politiche </w:t>
      </w:r>
      <w:r w:rsidR="00A14FC2" w:rsidRPr="003E10E0">
        <w:t>e</w:t>
      </w:r>
      <w:r w:rsidR="002E5082" w:rsidRPr="003E10E0">
        <w:t xml:space="preserve"> alla re</w:t>
      </w:r>
      <w:r w:rsidR="007D66CC" w:rsidRPr="003E10E0">
        <w:t>l</w:t>
      </w:r>
      <w:r w:rsidR="000F6AB4" w:rsidRPr="003E10E0">
        <w:t xml:space="preserve">igione dei suoi interlocutori, </w:t>
      </w:r>
      <w:r w:rsidR="007D66CC" w:rsidRPr="003E10E0">
        <w:t xml:space="preserve">si impegna </w:t>
      </w:r>
      <w:r w:rsidR="00A14FC2" w:rsidRPr="003E10E0">
        <w:t>a</w:t>
      </w:r>
      <w:r w:rsidR="002E5082" w:rsidRPr="003E10E0">
        <w:t xml:space="preserve"> operare in modo equo e imparziale, adottando lo stesso comportamento verso tutti gli interlocutori con cui entra in contatto, pur nelle differenti forme di relazione e comunicazione richiesta dalla natura e dal ruolo istituzionale degli interlocutori.</w:t>
      </w:r>
    </w:p>
    <w:p w14:paraId="577F7628" w14:textId="664438A3" w:rsidR="002E5082" w:rsidRPr="003E10E0" w:rsidRDefault="002E5082" w:rsidP="00523D89">
      <w:pPr>
        <w:pStyle w:val="Paragrafoelenco"/>
        <w:widowControl w:val="0"/>
      </w:pPr>
      <w:r w:rsidRPr="003E10E0">
        <w:t>Di fronte a situazioni di svantaggio (stato di bisogno, handic</w:t>
      </w:r>
      <w:r w:rsidR="00240C30" w:rsidRPr="003E10E0">
        <w:t>ap ecc.</w:t>
      </w:r>
      <w:r w:rsidR="00511C3F" w:rsidRPr="003E10E0">
        <w:t xml:space="preserve">), </w:t>
      </w:r>
      <w:proofErr w:type="spellStart"/>
      <w:r w:rsidR="0011745F">
        <w:t>Viveracqua</w:t>
      </w:r>
      <w:proofErr w:type="spellEnd"/>
      <w:r w:rsidR="0011745F" w:rsidRPr="003E10E0">
        <w:t xml:space="preserve"> </w:t>
      </w:r>
      <w:r w:rsidR="00CB68AA" w:rsidRPr="003E10E0">
        <w:t xml:space="preserve">si impegna ad adottare strumenti organizzativi tesi a </w:t>
      </w:r>
      <w:r w:rsidRPr="003E10E0">
        <w:t>garanti</w:t>
      </w:r>
      <w:r w:rsidR="00CB68AA" w:rsidRPr="003E10E0">
        <w:t>re</w:t>
      </w:r>
      <w:r w:rsidRPr="003E10E0">
        <w:t xml:space="preserve"> equità di trattamento.</w:t>
      </w:r>
      <w:r w:rsidR="007D66CC" w:rsidRPr="003E10E0">
        <w:t xml:space="preserve"> </w:t>
      </w:r>
    </w:p>
    <w:p w14:paraId="4FE4BEE9" w14:textId="456A9699" w:rsidR="002E5082" w:rsidRPr="003E10E0" w:rsidRDefault="0011745F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Pr="003E10E0">
        <w:t xml:space="preserve"> </w:t>
      </w:r>
      <w:r w:rsidR="002E5082" w:rsidRPr="003E10E0">
        <w:t xml:space="preserve">promuove </w:t>
      </w:r>
      <w:r w:rsidR="00CB68AA" w:rsidRPr="003E10E0">
        <w:t>le</w:t>
      </w:r>
      <w:r w:rsidR="002E5082" w:rsidRPr="003E10E0">
        <w:t xml:space="preserve"> pari opportunità tra lavoratori e lavoratrici secondo quanto previsto </w:t>
      </w:r>
      <w:r>
        <w:t>dalle norme</w:t>
      </w:r>
      <w:r w:rsidR="002E5082" w:rsidRPr="003E10E0">
        <w:t>, garantendo parità di trattamento nell</w:t>
      </w:r>
      <w:r w:rsidR="00962939" w:rsidRPr="003E10E0">
        <w:t>’</w:t>
      </w:r>
      <w:r w:rsidR="002E5082" w:rsidRPr="003E10E0">
        <w:t xml:space="preserve">accesso al lavoro, alla formazione, alla promozione professionale, anche di tipo economico, </w:t>
      </w:r>
      <w:r w:rsidR="00A14FC2" w:rsidRPr="003E10E0">
        <w:t>e</w:t>
      </w:r>
      <w:r w:rsidR="002E5082" w:rsidRPr="003E10E0">
        <w:t xml:space="preserve"> alle condizioni di lavoro, incentivando</w:t>
      </w:r>
      <w:r w:rsidR="001C7C4F" w:rsidRPr="003E10E0">
        <w:t>,</w:t>
      </w:r>
      <w:r w:rsidR="002E5082" w:rsidRPr="003E10E0">
        <w:t xml:space="preserve"> laddove possibile</w:t>
      </w:r>
      <w:r w:rsidR="001C7C4F" w:rsidRPr="003E10E0">
        <w:t>,</w:t>
      </w:r>
      <w:r w:rsidR="002E5082" w:rsidRPr="003E10E0">
        <w:t xml:space="preserve"> orari e rapporti di lavoro flessibili (part time, telelavoro, </w:t>
      </w:r>
      <w:proofErr w:type="spellStart"/>
      <w:r w:rsidR="002E5082" w:rsidRPr="003E10E0">
        <w:t>smart</w:t>
      </w:r>
      <w:proofErr w:type="spellEnd"/>
      <w:r w:rsidR="000F6AB4" w:rsidRPr="003E10E0">
        <w:t xml:space="preserve"> </w:t>
      </w:r>
      <w:proofErr w:type="spellStart"/>
      <w:r w:rsidR="002E5082" w:rsidRPr="003E10E0">
        <w:t>working</w:t>
      </w:r>
      <w:proofErr w:type="spellEnd"/>
      <w:r w:rsidR="002E5082" w:rsidRPr="003E10E0">
        <w:t>)</w:t>
      </w:r>
      <w:r w:rsidR="001C7C4F" w:rsidRPr="003E10E0">
        <w:t>,</w:t>
      </w:r>
      <w:r w:rsidR="002E5082" w:rsidRPr="003E10E0">
        <w:t xml:space="preserve"> atti a conciliare gli impegni f</w:t>
      </w:r>
      <w:r w:rsidR="00CB68AA" w:rsidRPr="003E10E0">
        <w:t>amiliari con quelli lavorativi.</w:t>
      </w:r>
    </w:p>
    <w:p w14:paraId="157CDD71" w14:textId="63C05EA3" w:rsidR="001C7C4F" w:rsidRPr="003E10E0" w:rsidRDefault="007D66CC" w:rsidP="00523D89">
      <w:pPr>
        <w:pStyle w:val="Paragrafoelenco"/>
        <w:widowControl w:val="0"/>
      </w:pPr>
      <w:r w:rsidRPr="003E10E0">
        <w:t>L</w:t>
      </w:r>
      <w:r w:rsidR="00962939" w:rsidRPr="003E10E0">
        <w:t>’</w:t>
      </w:r>
      <w:r w:rsidRPr="003E10E0">
        <w:t>indipendenza e la trasparenza sono altresì i principi che guidano l</w:t>
      </w:r>
      <w:r w:rsidR="00962939" w:rsidRPr="003E10E0">
        <w:t>’</w:t>
      </w:r>
      <w:r w:rsidRPr="003E10E0">
        <w:t xml:space="preserve">azione di </w:t>
      </w:r>
      <w:bookmarkStart w:id="12" w:name="_Toc515546690"/>
      <w:proofErr w:type="spellStart"/>
      <w:r w:rsidR="0011745F">
        <w:t>Viveracqua</w:t>
      </w:r>
      <w:proofErr w:type="spellEnd"/>
      <w:r w:rsidR="0011745F" w:rsidRPr="003E10E0">
        <w:t xml:space="preserve"> </w:t>
      </w:r>
      <w:r w:rsidRPr="003E10E0">
        <w:t>nella selezione e</w:t>
      </w:r>
      <w:r w:rsidR="001C7C4F" w:rsidRPr="003E10E0">
        <w:t xml:space="preserve"> nell</w:t>
      </w:r>
      <w:r w:rsidR="00962939" w:rsidRPr="003E10E0">
        <w:t>’</w:t>
      </w:r>
      <w:r w:rsidR="001C7C4F" w:rsidRPr="003E10E0">
        <w:t>assunzione del personale.</w:t>
      </w:r>
    </w:p>
    <w:p w14:paraId="0BC3114C" w14:textId="2B03EE0B" w:rsidR="007C1D74" w:rsidRDefault="007D66CC" w:rsidP="00523D89">
      <w:pPr>
        <w:pStyle w:val="Paragrafoelenco"/>
        <w:widowControl w:val="0"/>
      </w:pPr>
      <w:r w:rsidRPr="003E10E0">
        <w:t xml:space="preserve">Nella gestione dei rapporti lavorativi </w:t>
      </w:r>
      <w:proofErr w:type="spellStart"/>
      <w:r w:rsidR="0011745F">
        <w:t>Viveracqua</w:t>
      </w:r>
      <w:proofErr w:type="spellEnd"/>
      <w:r w:rsidR="0011745F" w:rsidRPr="003E10E0">
        <w:t xml:space="preserve"> </w:t>
      </w:r>
      <w:r w:rsidR="00CB68AA" w:rsidRPr="003E10E0">
        <w:t>valorizza il lavoro di tutti i</w:t>
      </w:r>
      <w:r w:rsidRPr="003E10E0">
        <w:t xml:space="preserve"> </w:t>
      </w:r>
      <w:r w:rsidR="006678F7" w:rsidRPr="003E10E0">
        <w:t xml:space="preserve">propri </w:t>
      </w:r>
      <w:r w:rsidRPr="003E10E0">
        <w:t xml:space="preserve">collaboratori richiedendo prestazioni coerenti </w:t>
      </w:r>
      <w:r w:rsidR="006678F7" w:rsidRPr="003E10E0">
        <w:t xml:space="preserve">con le attività loro assegnate, </w:t>
      </w:r>
      <w:r w:rsidRPr="003E10E0">
        <w:t>promuove</w:t>
      </w:r>
      <w:r w:rsidR="006678F7" w:rsidRPr="003E10E0">
        <w:t>ndone</w:t>
      </w:r>
      <w:r w:rsidRPr="003E10E0">
        <w:t xml:space="preserve"> il coinvolgimento </w:t>
      </w:r>
      <w:r w:rsidR="006678F7" w:rsidRPr="003E10E0">
        <w:t>e</w:t>
      </w:r>
      <w:r w:rsidRPr="003E10E0">
        <w:t xml:space="preserve"> rendendoli partecipi degli obiettivi </w:t>
      </w:r>
      <w:r w:rsidR="00D04751" w:rsidRPr="003E10E0">
        <w:t xml:space="preserve">aziendali </w:t>
      </w:r>
      <w:r w:rsidRPr="003E10E0">
        <w:t>e del loro raggiungimento.</w:t>
      </w:r>
    </w:p>
    <w:p w14:paraId="50CFF0E4" w14:textId="77777777" w:rsidR="007C1D74" w:rsidRDefault="007C1D74">
      <w:pPr>
        <w:spacing w:after="160" w:line="259" w:lineRule="auto"/>
        <w:rPr>
          <w:rFonts w:ascii="Palatino Linotype" w:hAnsi="Palatino Linotype" w:cs="Arial"/>
          <w:color w:val="444444"/>
          <w:sz w:val="20"/>
          <w:szCs w:val="20"/>
          <w:shd w:val="clear" w:color="auto" w:fill="FFFFFF"/>
        </w:rPr>
      </w:pPr>
      <w:r>
        <w:br w:type="page"/>
      </w:r>
    </w:p>
    <w:p w14:paraId="22F45359" w14:textId="5E6826F9" w:rsidR="006D4434" w:rsidRPr="003E10E0" w:rsidRDefault="000909DF" w:rsidP="000909DF">
      <w:pPr>
        <w:pStyle w:val="Titolo1"/>
      </w:pPr>
      <w:bookmarkStart w:id="13" w:name="_Toc143845281"/>
      <w:bookmarkEnd w:id="12"/>
      <w:r>
        <w:lastRenderedPageBreak/>
        <w:t>6</w:t>
      </w:r>
      <w:r>
        <w:tab/>
      </w:r>
      <w:r w:rsidR="001C23AD">
        <w:t>Comitato guida</w:t>
      </w:r>
      <w:bookmarkEnd w:id="13"/>
      <w:r w:rsidR="006D4434" w:rsidRPr="003E10E0">
        <w:t xml:space="preserve"> </w:t>
      </w:r>
    </w:p>
    <w:p w14:paraId="122E4AE3" w14:textId="6A966415" w:rsidR="006D4434" w:rsidRPr="003E10E0" w:rsidRDefault="006D4434" w:rsidP="00523D89">
      <w:pPr>
        <w:pStyle w:val="Paragrafoelenco"/>
        <w:widowControl w:val="0"/>
      </w:pPr>
      <w:r w:rsidRPr="003E10E0">
        <w:t xml:space="preserve">Viene costituito un </w:t>
      </w:r>
      <w:r w:rsidR="001C23AD">
        <w:t>Comitato guida</w:t>
      </w:r>
      <w:r w:rsidRPr="003E10E0">
        <w:t xml:space="preserve"> permanente</w:t>
      </w:r>
      <w:r w:rsidR="00523D89" w:rsidRPr="003E10E0">
        <w:t>,</w:t>
      </w:r>
      <w:r w:rsidRPr="003E10E0">
        <w:t xml:space="preserve"> </w:t>
      </w:r>
      <w:r w:rsidR="001C23AD">
        <w:t xml:space="preserve">trasversale </w:t>
      </w:r>
      <w:r w:rsidRPr="003E10E0">
        <w:t xml:space="preserve">sia in termini di competenze </w:t>
      </w:r>
      <w:r w:rsidR="00523D89" w:rsidRPr="003E10E0">
        <w:t xml:space="preserve">sia di ruoli organizzativi, </w:t>
      </w:r>
      <w:r w:rsidRPr="003E10E0">
        <w:t xml:space="preserve">che ha il compito di promuovere iniziative </w:t>
      </w:r>
      <w:r w:rsidR="001540CF" w:rsidRPr="003E10E0">
        <w:t xml:space="preserve">coerenti con la seguente </w:t>
      </w:r>
      <w:r w:rsidR="001540CF" w:rsidRPr="003E10E0">
        <w:rPr>
          <w:i/>
        </w:rPr>
        <w:t>policy</w:t>
      </w:r>
      <w:r w:rsidR="001540CF" w:rsidRPr="003E10E0">
        <w:t xml:space="preserve"> e attività di sensibilizzazione ai valori della diversità</w:t>
      </w:r>
      <w:r w:rsidR="00034C22" w:rsidRPr="003E10E0">
        <w:t xml:space="preserve"> </w:t>
      </w:r>
      <w:r w:rsidR="001540CF" w:rsidRPr="003E10E0">
        <w:t>e dell</w:t>
      </w:r>
      <w:r w:rsidR="00962939" w:rsidRPr="003E10E0">
        <w:t>’</w:t>
      </w:r>
      <w:r w:rsidR="001540CF" w:rsidRPr="003E10E0">
        <w:t xml:space="preserve">inclusione. </w:t>
      </w:r>
    </w:p>
    <w:p w14:paraId="309EE05E" w14:textId="2FDD876C" w:rsidR="000B2DE2" w:rsidRPr="003E10E0" w:rsidRDefault="000909DF" w:rsidP="000909DF">
      <w:pPr>
        <w:pStyle w:val="Titolo1"/>
      </w:pPr>
      <w:bookmarkStart w:id="14" w:name="_Toc143845282"/>
      <w:r>
        <w:t>7</w:t>
      </w:r>
      <w:r>
        <w:tab/>
      </w:r>
      <w:r w:rsidR="00F94537" w:rsidRPr="003E10E0">
        <w:t>Percorso di sviluppo in azienda</w:t>
      </w:r>
      <w:bookmarkEnd w:id="14"/>
    </w:p>
    <w:p w14:paraId="5A125408" w14:textId="77777777" w:rsidR="00E55D5E" w:rsidRPr="003E10E0" w:rsidRDefault="00E55D5E" w:rsidP="00523D89">
      <w:pPr>
        <w:pStyle w:val="Paragrafoelenco"/>
        <w:widowControl w:val="0"/>
      </w:pPr>
      <w:r w:rsidRPr="003E10E0">
        <w:t>L</w:t>
      </w:r>
      <w:r w:rsidR="00A251A1" w:rsidRPr="003E10E0">
        <w:t>a cultura dell</w:t>
      </w:r>
      <w:r w:rsidR="00962939" w:rsidRPr="003E10E0">
        <w:t>’</w:t>
      </w:r>
      <w:r w:rsidRPr="003E10E0">
        <w:t xml:space="preserve">inclusione deve accompagnare </w:t>
      </w:r>
      <w:r w:rsidR="00A251A1" w:rsidRPr="003E10E0">
        <w:t>le persone</w:t>
      </w:r>
      <w:r w:rsidRPr="003E10E0">
        <w:t xml:space="preserve"> in azienda </w:t>
      </w:r>
      <w:r w:rsidR="00A251A1" w:rsidRPr="003E10E0">
        <w:t xml:space="preserve">in ogni fase </w:t>
      </w:r>
      <w:r w:rsidRPr="003E10E0">
        <w:t xml:space="preserve">(selezione, inserimento, sviluppo, carriera, </w:t>
      </w:r>
      <w:r w:rsidR="00CB68AA" w:rsidRPr="003E10E0">
        <w:t xml:space="preserve">dimissioni o </w:t>
      </w:r>
      <w:r w:rsidRPr="003E10E0">
        <w:t>pensione).</w:t>
      </w:r>
    </w:p>
    <w:p w14:paraId="0C2EA79A" w14:textId="1AA39B95" w:rsidR="00F94537" w:rsidRPr="000909DF" w:rsidRDefault="000909DF" w:rsidP="000909DF">
      <w:pPr>
        <w:pStyle w:val="Titolo2"/>
      </w:pPr>
      <w:bookmarkStart w:id="15" w:name="_Toc143845283"/>
      <w:r>
        <w:t>7</w:t>
      </w:r>
      <w:r w:rsidR="00F94537" w:rsidRPr="000909DF">
        <w:t>.1</w:t>
      </w:r>
      <w:r w:rsidR="00F94537" w:rsidRPr="000909DF">
        <w:tab/>
      </w:r>
      <w:r w:rsidR="00194EEF" w:rsidRPr="000909DF">
        <w:t>Selezione</w:t>
      </w:r>
      <w:bookmarkEnd w:id="15"/>
    </w:p>
    <w:p w14:paraId="74E0799C" w14:textId="2671584F" w:rsidR="00194EEF" w:rsidRPr="003E10E0" w:rsidRDefault="00194EEF" w:rsidP="00523D89">
      <w:pPr>
        <w:pStyle w:val="Paragrafoelenco"/>
        <w:widowControl w:val="0"/>
      </w:pPr>
      <w:r w:rsidRPr="003E10E0">
        <w:t xml:space="preserve">Promuovere </w:t>
      </w:r>
      <w:proofErr w:type="spellStart"/>
      <w:r w:rsidRPr="003E10E0">
        <w:t>inclusività</w:t>
      </w:r>
      <w:proofErr w:type="spellEnd"/>
      <w:r w:rsidRPr="003E10E0">
        <w:t xml:space="preserve"> e diversità nel processo di selezione come leva competit</w:t>
      </w:r>
      <w:r w:rsidR="00CC599D" w:rsidRPr="003E10E0">
        <w:t>iva per valorizzare il rispetto, la valorizzazione delle competenze</w:t>
      </w:r>
      <w:r w:rsidRPr="003E10E0">
        <w:t xml:space="preserve"> e l</w:t>
      </w:r>
      <w:r w:rsidR="00962939" w:rsidRPr="003E10E0">
        <w:t>’</w:t>
      </w:r>
      <w:r w:rsidRPr="003E10E0">
        <w:t>efficacia d</w:t>
      </w:r>
      <w:r w:rsidR="00CC599D" w:rsidRPr="003E10E0">
        <w:t>ei nuovi inserimenti.</w:t>
      </w:r>
    </w:p>
    <w:p w14:paraId="62A65E7D" w14:textId="77777777" w:rsidR="00CC599D" w:rsidRPr="003E10E0" w:rsidRDefault="00194EEF" w:rsidP="00523D89">
      <w:pPr>
        <w:pStyle w:val="Paragrafoelenco"/>
        <w:widowControl w:val="0"/>
      </w:pPr>
      <w:r w:rsidRPr="003E10E0">
        <w:t xml:space="preserve">Definire una </w:t>
      </w:r>
      <w:r w:rsidR="00467069" w:rsidRPr="003E10E0">
        <w:t>modalità</w:t>
      </w:r>
      <w:r w:rsidRPr="003E10E0">
        <w:t xml:space="preserve"> di selezione che tenga conto dei principi di diversità e inclusione al fine di valorizzare le competenze </w:t>
      </w:r>
      <w:r w:rsidR="00962939" w:rsidRPr="003E10E0">
        <w:t>e</w:t>
      </w:r>
      <w:r w:rsidRPr="003E10E0">
        <w:t xml:space="preserve"> attrarre i talenti</w:t>
      </w:r>
      <w:r w:rsidR="00A12C1C" w:rsidRPr="003E10E0">
        <w:t>.</w:t>
      </w:r>
      <w:r w:rsidRPr="003E10E0">
        <w:t xml:space="preserve"> </w:t>
      </w:r>
    </w:p>
    <w:p w14:paraId="2383D554" w14:textId="65558505" w:rsidR="00CC599D" w:rsidRPr="003E10E0" w:rsidRDefault="00A12C1C" w:rsidP="00523D89">
      <w:pPr>
        <w:pStyle w:val="Paragrafoelenco"/>
        <w:widowControl w:val="0"/>
      </w:pPr>
      <w:r w:rsidRPr="003E10E0">
        <w:t>Nominare commissioni di selezione che tengano conto delle differenze in tutte le dimensioni incrociat</w:t>
      </w:r>
      <w:r w:rsidR="00523D89" w:rsidRPr="003E10E0">
        <w:t>e</w:t>
      </w:r>
      <w:r w:rsidRPr="003E10E0">
        <w:t xml:space="preserve"> con le competenze. </w:t>
      </w:r>
    </w:p>
    <w:p w14:paraId="139BAAEB" w14:textId="77777777" w:rsidR="00194EEF" w:rsidRPr="003E10E0" w:rsidRDefault="00A12C1C" w:rsidP="00523D89">
      <w:pPr>
        <w:pStyle w:val="Paragrafoelenco"/>
        <w:widowControl w:val="0"/>
      </w:pPr>
      <w:r w:rsidRPr="003E10E0">
        <w:t>Rispettare le normative che prevedono le assunzioni di persone svantaggiate, mettendo però al centro la persona e garantendo un ambiente inclusivo.</w:t>
      </w:r>
    </w:p>
    <w:p w14:paraId="55F8C413" w14:textId="04ED716A" w:rsidR="00194EEF" w:rsidRPr="003E10E0" w:rsidRDefault="000909DF" w:rsidP="000909DF">
      <w:pPr>
        <w:pStyle w:val="Titolo2"/>
      </w:pPr>
      <w:bookmarkStart w:id="16" w:name="_Toc143845284"/>
      <w:r>
        <w:t>7</w:t>
      </w:r>
      <w:r w:rsidR="00194EEF" w:rsidRPr="003E10E0">
        <w:t>.2</w:t>
      </w:r>
      <w:r w:rsidR="00194EEF" w:rsidRPr="003E10E0">
        <w:tab/>
        <w:t>Inserimento</w:t>
      </w:r>
      <w:bookmarkEnd w:id="16"/>
    </w:p>
    <w:p w14:paraId="4386EA6A" w14:textId="1CDD051C" w:rsidR="00194EEF" w:rsidRPr="003E10E0" w:rsidRDefault="00CC599D" w:rsidP="00523D89">
      <w:pPr>
        <w:pStyle w:val="Paragrafoelenco"/>
        <w:widowControl w:val="0"/>
      </w:pPr>
      <w:r w:rsidRPr="003E10E0">
        <w:t xml:space="preserve">Tutti i programmi di </w:t>
      </w:r>
      <w:r w:rsidR="00467069" w:rsidRPr="003E10E0">
        <w:t xml:space="preserve">inserimento </w:t>
      </w:r>
      <w:r w:rsidRPr="003E10E0">
        <w:t xml:space="preserve">prevedono </w:t>
      </w:r>
      <w:r w:rsidR="00A12C1C" w:rsidRPr="003E10E0">
        <w:t>un modulo specifico sulla diversità e sull</w:t>
      </w:r>
      <w:r w:rsidR="00962939" w:rsidRPr="003E10E0">
        <w:t>’</w:t>
      </w:r>
      <w:r w:rsidR="00A12C1C" w:rsidRPr="003E10E0">
        <w:t xml:space="preserve">inclusione, al fine di accompagnare </w:t>
      </w:r>
      <w:r w:rsidRPr="003E10E0">
        <w:t>le persone neo</w:t>
      </w:r>
      <w:r w:rsidR="00467069" w:rsidRPr="003E10E0">
        <w:t>-</w:t>
      </w:r>
      <w:r w:rsidRPr="003E10E0">
        <w:t xml:space="preserve">inserite in azienda a diventare </w:t>
      </w:r>
      <w:r w:rsidR="00A12C1C" w:rsidRPr="003E10E0">
        <w:t>loro stess</w:t>
      </w:r>
      <w:r w:rsidR="00523D89" w:rsidRPr="003E10E0">
        <w:t>e</w:t>
      </w:r>
      <w:r w:rsidR="00A12C1C" w:rsidRPr="003E10E0">
        <w:t xml:space="preserve"> diffusori del valore dell</w:t>
      </w:r>
      <w:r w:rsidR="00962939" w:rsidRPr="003E10E0">
        <w:t>’</w:t>
      </w:r>
      <w:r w:rsidR="00A12C1C" w:rsidRPr="003E10E0">
        <w:t>inclusione.</w:t>
      </w:r>
    </w:p>
    <w:p w14:paraId="29DBB25C" w14:textId="2A208B28" w:rsidR="00194EEF" w:rsidRPr="003E10E0" w:rsidRDefault="000909DF" w:rsidP="00523D89">
      <w:pPr>
        <w:pStyle w:val="Titolo2"/>
        <w:keepNext w:val="0"/>
      </w:pPr>
      <w:bookmarkStart w:id="17" w:name="_Toc143845285"/>
      <w:r>
        <w:t>7</w:t>
      </w:r>
      <w:r w:rsidR="00194EEF" w:rsidRPr="003E10E0">
        <w:t>.3</w:t>
      </w:r>
      <w:r w:rsidR="00194EEF" w:rsidRPr="003E10E0">
        <w:tab/>
        <w:t>Sviluppo della persona</w:t>
      </w:r>
      <w:bookmarkEnd w:id="17"/>
    </w:p>
    <w:p w14:paraId="53D65AF8" w14:textId="30E226D6" w:rsidR="001D2A97" w:rsidRPr="003E10E0" w:rsidRDefault="00467069" w:rsidP="00FE6D62">
      <w:pPr>
        <w:pStyle w:val="Paragrafoelenco"/>
        <w:widowControl w:val="0"/>
        <w:rPr>
          <w:rFonts w:ascii="Gill Sans MT" w:eastAsia="ヒラギノ角ゴ Pro W3" w:hAnsi="Gill Sans MT"/>
          <w:b/>
          <w:color w:val="3E6575"/>
          <w:sz w:val="24"/>
          <w:szCs w:val="24"/>
          <w:lang w:eastAsia="it-IT"/>
        </w:rPr>
      </w:pPr>
      <w:r w:rsidRPr="00C506C7">
        <w:t xml:space="preserve">Creare, nei limiti delle competenze possedute, </w:t>
      </w:r>
      <w:r w:rsidR="00CC599D" w:rsidRPr="00C506C7">
        <w:t>team di lavoro eterogenei</w:t>
      </w:r>
      <w:r w:rsidR="00C506C7">
        <w:t xml:space="preserve"> sia per genere che per competenze, anche rispetto alle composizioni dei gruppi di lavoro tematici.</w:t>
      </w:r>
    </w:p>
    <w:p w14:paraId="616CC930" w14:textId="07899EBA" w:rsidR="00194EEF" w:rsidRPr="003E10E0" w:rsidRDefault="000909DF" w:rsidP="00523D89">
      <w:pPr>
        <w:pStyle w:val="Titolo2"/>
        <w:keepNext w:val="0"/>
      </w:pPr>
      <w:bookmarkStart w:id="18" w:name="_Toc143845286"/>
      <w:r>
        <w:t>7</w:t>
      </w:r>
      <w:r w:rsidR="00194EEF" w:rsidRPr="003E10E0">
        <w:t>.4</w:t>
      </w:r>
      <w:r w:rsidR="00194EEF" w:rsidRPr="003E10E0">
        <w:tab/>
      </w:r>
      <w:r w:rsidR="00A12C1C" w:rsidRPr="003E10E0">
        <w:t>Carriera</w:t>
      </w:r>
      <w:bookmarkEnd w:id="18"/>
    </w:p>
    <w:p w14:paraId="256F2243" w14:textId="5F87B379" w:rsidR="00A12C1C" w:rsidRPr="003E10E0" w:rsidRDefault="00CC599D" w:rsidP="00523D89">
      <w:pPr>
        <w:pStyle w:val="Paragrafoelenco"/>
        <w:widowControl w:val="0"/>
      </w:pPr>
      <w:r w:rsidRPr="003E10E0">
        <w:t>P</w:t>
      </w:r>
      <w:r w:rsidR="00A12C1C" w:rsidRPr="003E10E0">
        <w:t xml:space="preserve">ercorsi di carriera, </w:t>
      </w:r>
      <w:r w:rsidR="00A12C1C" w:rsidRPr="003E10E0">
        <w:rPr>
          <w:i/>
        </w:rPr>
        <w:t xml:space="preserve">job </w:t>
      </w:r>
      <w:proofErr w:type="spellStart"/>
      <w:r w:rsidR="00A12C1C" w:rsidRPr="003E10E0">
        <w:rPr>
          <w:i/>
        </w:rPr>
        <w:t>posting</w:t>
      </w:r>
      <w:proofErr w:type="spellEnd"/>
      <w:r w:rsidR="00A12C1C" w:rsidRPr="003E10E0">
        <w:t xml:space="preserve"> e selezioni interne</w:t>
      </w:r>
      <w:r w:rsidR="00467069" w:rsidRPr="003E10E0">
        <w:t xml:space="preserve"> </w:t>
      </w:r>
      <w:r w:rsidR="00A12C1C" w:rsidRPr="003E10E0">
        <w:t xml:space="preserve">improntati </w:t>
      </w:r>
      <w:r w:rsidR="00467069" w:rsidRPr="003E10E0">
        <w:t>alla</w:t>
      </w:r>
      <w:r w:rsidR="00A12C1C" w:rsidRPr="003E10E0">
        <w:t xml:space="preserve"> valo</w:t>
      </w:r>
      <w:r w:rsidR="00467069" w:rsidRPr="003E10E0">
        <w:t>rizzazione delle competenze e a</w:t>
      </w:r>
      <w:r w:rsidR="00A12C1C" w:rsidRPr="003E10E0">
        <w:t>lla garanzia di dare le medesime opportunità</w:t>
      </w:r>
      <w:r w:rsidR="00467069" w:rsidRPr="003E10E0">
        <w:t xml:space="preserve"> e alla t</w:t>
      </w:r>
      <w:r w:rsidR="00A12C1C" w:rsidRPr="003E10E0">
        <w:t>rasparenza delle scelte.</w:t>
      </w:r>
    </w:p>
    <w:p w14:paraId="3382266D" w14:textId="67F77482" w:rsidR="00A12C1C" w:rsidRPr="003E10E0" w:rsidRDefault="000909DF" w:rsidP="00523D89">
      <w:pPr>
        <w:pStyle w:val="Titolo2"/>
        <w:keepNext w:val="0"/>
      </w:pPr>
      <w:bookmarkStart w:id="19" w:name="_Toc143845287"/>
      <w:r>
        <w:t>7</w:t>
      </w:r>
      <w:r w:rsidR="00A12C1C" w:rsidRPr="003E10E0">
        <w:t>.5</w:t>
      </w:r>
      <w:r w:rsidR="00A12C1C" w:rsidRPr="003E10E0">
        <w:tab/>
        <w:t xml:space="preserve">Uscita </w:t>
      </w:r>
      <w:r w:rsidR="00523D89" w:rsidRPr="003E10E0">
        <w:t>–</w:t>
      </w:r>
      <w:r w:rsidR="00A12C1C" w:rsidRPr="003E10E0">
        <w:t xml:space="preserve"> pensionamento</w:t>
      </w:r>
      <w:bookmarkEnd w:id="19"/>
    </w:p>
    <w:p w14:paraId="23090562" w14:textId="21CC4639" w:rsidR="00A12C1C" w:rsidRPr="003E10E0" w:rsidRDefault="001C23AD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="00CB68AA" w:rsidRPr="003E10E0">
        <w:t xml:space="preserve"> </w:t>
      </w:r>
      <w:r>
        <w:t xml:space="preserve">promuove tra i soci </w:t>
      </w:r>
      <w:r w:rsidR="00CC599D" w:rsidRPr="003E10E0">
        <w:t>politiche attive di gestione del personale bas</w:t>
      </w:r>
      <w:r w:rsidR="00CB68AA" w:rsidRPr="003E10E0">
        <w:t>at</w:t>
      </w:r>
      <w:r w:rsidR="00523D89" w:rsidRPr="003E10E0">
        <w:t>e</w:t>
      </w:r>
      <w:r w:rsidR="00CB68AA" w:rsidRPr="003E10E0">
        <w:t xml:space="preserve"> sullo scambio generazionale; l</w:t>
      </w:r>
      <w:r w:rsidR="00962939" w:rsidRPr="003E10E0">
        <w:t>’</w:t>
      </w:r>
      <w:r w:rsidR="00CB68AA" w:rsidRPr="003E10E0">
        <w:t xml:space="preserve">interscambio generazionale viene favorito sia nella fase di coincidente collaborazione </w:t>
      </w:r>
      <w:r w:rsidR="00523D89" w:rsidRPr="003E10E0">
        <w:t>sia</w:t>
      </w:r>
      <w:r w:rsidR="00CB68AA" w:rsidRPr="003E10E0">
        <w:t xml:space="preserve"> nella fase di congedo di chi si avvicina all</w:t>
      </w:r>
      <w:r w:rsidR="00962939" w:rsidRPr="003E10E0">
        <w:t>’</w:t>
      </w:r>
      <w:r w:rsidR="00CB68AA" w:rsidRPr="003E10E0">
        <w:t>età del ritiro dalla vita lavorativa aziendale.</w:t>
      </w:r>
    </w:p>
    <w:p w14:paraId="2C2035A7" w14:textId="1DCCBF68" w:rsidR="007C1D74" w:rsidRPr="00B930E0" w:rsidRDefault="00A12C1C" w:rsidP="00523D89">
      <w:pPr>
        <w:pStyle w:val="Paragrafoelenco"/>
        <w:widowControl w:val="0"/>
      </w:pPr>
      <w:r w:rsidRPr="00B930E0">
        <w:t xml:space="preserve">Sono da porre in atto quindi azioni quali: </w:t>
      </w:r>
      <w:r w:rsidRPr="00B930E0">
        <w:rPr>
          <w:i/>
        </w:rPr>
        <w:t>reverse</w:t>
      </w:r>
      <w:r w:rsidRPr="00B930E0">
        <w:t xml:space="preserve"> </w:t>
      </w:r>
      <w:proofErr w:type="spellStart"/>
      <w:r w:rsidRPr="00B930E0">
        <w:rPr>
          <w:i/>
        </w:rPr>
        <w:t>mentoring</w:t>
      </w:r>
      <w:proofErr w:type="spellEnd"/>
      <w:r w:rsidR="00CB68AA" w:rsidRPr="00B930E0">
        <w:t xml:space="preserve">, </w:t>
      </w:r>
      <w:r w:rsidRPr="00B930E0">
        <w:t xml:space="preserve">formazione </w:t>
      </w:r>
      <w:r w:rsidR="00CB68AA" w:rsidRPr="00B930E0">
        <w:t xml:space="preserve">che comprenda anche </w:t>
      </w:r>
      <w:r w:rsidRPr="00B930E0">
        <w:t xml:space="preserve">lo scambio </w:t>
      </w:r>
      <w:r w:rsidR="00CB68AA" w:rsidRPr="00B930E0">
        <w:t>delle conoscenze intergenerazionali</w:t>
      </w:r>
      <w:r w:rsidRPr="00B930E0">
        <w:t xml:space="preserve">, </w:t>
      </w:r>
      <w:r w:rsidR="00CB68AA" w:rsidRPr="00B930E0">
        <w:t>tutoraggio negli apprendistati nonch</w:t>
      </w:r>
      <w:r w:rsidR="00962939" w:rsidRPr="00B930E0">
        <w:t>é</w:t>
      </w:r>
      <w:r w:rsidRPr="00B930E0">
        <w:t xml:space="preserve"> obiettivi di car</w:t>
      </w:r>
      <w:r w:rsidR="00CB68AA" w:rsidRPr="00B930E0">
        <w:t>riera condivisi tra generazioni; inoltre</w:t>
      </w:r>
      <w:r w:rsidR="00523D89" w:rsidRPr="00B930E0">
        <w:t>,</w:t>
      </w:r>
      <w:r w:rsidRPr="00B930E0">
        <w:t xml:space="preserve"> </w:t>
      </w:r>
      <w:r w:rsidR="00CB68AA" w:rsidRPr="00B930E0">
        <w:t>l</w:t>
      </w:r>
      <w:r w:rsidR="00962939" w:rsidRPr="00B930E0">
        <w:t>’</w:t>
      </w:r>
      <w:r w:rsidRPr="00B930E0">
        <w:t xml:space="preserve">apprendimento continuo per </w:t>
      </w:r>
      <w:r w:rsidR="00CB68AA" w:rsidRPr="00B930E0">
        <w:t>valorizzare e sviluppare</w:t>
      </w:r>
      <w:r w:rsidRPr="00B930E0">
        <w:t xml:space="preserve"> le competenze e le esperienze lungo tutta la vita lavorativa </w:t>
      </w:r>
      <w:r w:rsidR="00CB68AA" w:rsidRPr="00B930E0">
        <w:t xml:space="preserve">possono contribuire alla rimozione </w:t>
      </w:r>
      <w:r w:rsidRPr="00B930E0">
        <w:t>i pregiudizi</w:t>
      </w:r>
      <w:r w:rsidR="00CB68AA" w:rsidRPr="00B930E0">
        <w:t xml:space="preserve"> basati</w:t>
      </w:r>
      <w:r w:rsidRPr="00B930E0">
        <w:t xml:space="preserve"> sull</w:t>
      </w:r>
      <w:r w:rsidR="00962939" w:rsidRPr="00B930E0">
        <w:t>’</w:t>
      </w:r>
      <w:r w:rsidRPr="00B930E0">
        <w:t>età.</w:t>
      </w:r>
    </w:p>
    <w:p w14:paraId="6AB71238" w14:textId="31D40094" w:rsidR="00654C0E" w:rsidRPr="003E10E0" w:rsidRDefault="000909DF" w:rsidP="000909DF">
      <w:pPr>
        <w:pStyle w:val="Titolo1"/>
      </w:pPr>
      <w:bookmarkStart w:id="20" w:name="_Toc143845288"/>
      <w:r>
        <w:t>8</w:t>
      </w:r>
      <w:r>
        <w:tab/>
      </w:r>
      <w:r w:rsidR="00685635" w:rsidRPr="003E10E0">
        <w:t xml:space="preserve">Applicazione delle politiche di </w:t>
      </w:r>
      <w:r w:rsidR="00467069" w:rsidRPr="003E10E0">
        <w:t>diversità</w:t>
      </w:r>
      <w:r w:rsidR="00685635" w:rsidRPr="003E10E0">
        <w:t xml:space="preserve"> e inclusion</w:t>
      </w:r>
      <w:r w:rsidR="00467069" w:rsidRPr="003E10E0">
        <w:t>e</w:t>
      </w:r>
      <w:bookmarkEnd w:id="20"/>
      <w:r w:rsidR="00685635" w:rsidRPr="003E10E0">
        <w:t xml:space="preserve"> </w:t>
      </w:r>
    </w:p>
    <w:p w14:paraId="0C42E449" w14:textId="17D7048C" w:rsidR="006B1D51" w:rsidRPr="003E10E0" w:rsidRDefault="001C23AD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="006B1D51" w:rsidRPr="003E10E0">
        <w:t xml:space="preserve"> </w:t>
      </w:r>
      <w:r w:rsidR="00766504" w:rsidRPr="003E10E0">
        <w:t>allo scopo di</w:t>
      </w:r>
      <w:r w:rsidR="006B1D51" w:rsidRPr="003E10E0">
        <w:t>:</w:t>
      </w:r>
    </w:p>
    <w:p w14:paraId="7D3C743F" w14:textId="41C34C9E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lastRenderedPageBreak/>
        <w:t>sensibilizzare</w:t>
      </w:r>
      <w:proofErr w:type="gramEnd"/>
      <w:r w:rsidRPr="003E10E0">
        <w:t xml:space="preserve"> </w:t>
      </w:r>
      <w:r w:rsidR="00A20407" w:rsidRPr="003E10E0">
        <w:t>e formare l</w:t>
      </w:r>
      <w:r w:rsidR="00962939" w:rsidRPr="003E10E0">
        <w:t>’</w:t>
      </w:r>
      <w:r w:rsidR="00A20407" w:rsidRPr="003E10E0">
        <w:t xml:space="preserve">organizzazione </w:t>
      </w:r>
      <w:r w:rsidR="00A01F41">
        <w:t xml:space="preserve">e i soci </w:t>
      </w:r>
      <w:r w:rsidR="00A20407" w:rsidRPr="003E10E0">
        <w:t>a tutti i livelli sull</w:t>
      </w:r>
      <w:r w:rsidR="00962939" w:rsidRPr="003E10E0">
        <w:t>’</w:t>
      </w:r>
      <w:r w:rsidR="00A20407" w:rsidRPr="003E10E0">
        <w:t>importanza della valorizzazione delle diversità individuali, tramite corsi, comunicazione di buone prassi</w:t>
      </w:r>
      <w:r w:rsidR="006B1D51" w:rsidRPr="003E10E0">
        <w:t>;</w:t>
      </w:r>
    </w:p>
    <w:p w14:paraId="134489C7" w14:textId="77777777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monitorare</w:t>
      </w:r>
      <w:proofErr w:type="gramEnd"/>
      <w:r w:rsidRPr="003E10E0">
        <w:t xml:space="preserve"> </w:t>
      </w:r>
      <w:r w:rsidR="00A20407" w:rsidRPr="003E10E0">
        <w:t>l</w:t>
      </w:r>
      <w:r w:rsidR="00962939" w:rsidRPr="003E10E0">
        <w:t>’</w:t>
      </w:r>
      <w:r w:rsidR="00A20407" w:rsidRPr="003E10E0">
        <w:t>andamento degli indicatori e valutare i risultati ottenuti utilizzando sistemi di monitoraggio in azienda</w:t>
      </w:r>
      <w:r w:rsidR="006B1D51" w:rsidRPr="003E10E0">
        <w:t>;</w:t>
      </w:r>
    </w:p>
    <w:p w14:paraId="4766588E" w14:textId="77777777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fornire</w:t>
      </w:r>
      <w:proofErr w:type="gramEnd"/>
      <w:r w:rsidRPr="003E10E0">
        <w:t xml:space="preserve"> </w:t>
      </w:r>
      <w:r w:rsidR="00A20407" w:rsidRPr="003E10E0">
        <w:t xml:space="preserve">strumenti di conciliazione di </w:t>
      </w:r>
      <w:r w:rsidR="00A20407" w:rsidRPr="003E10E0">
        <w:rPr>
          <w:i/>
        </w:rPr>
        <w:t>w</w:t>
      </w:r>
      <w:r w:rsidR="006B1D51" w:rsidRPr="003E10E0">
        <w:rPr>
          <w:i/>
        </w:rPr>
        <w:t>ork life balance</w:t>
      </w:r>
      <w:r w:rsidR="006B1D51" w:rsidRPr="003E10E0">
        <w:t xml:space="preserve">, </w:t>
      </w:r>
      <w:r w:rsidR="006B1D51" w:rsidRPr="003E10E0">
        <w:rPr>
          <w:i/>
        </w:rPr>
        <w:t>welfare</w:t>
      </w:r>
      <w:r w:rsidR="006B1D51" w:rsidRPr="003E10E0">
        <w:t>, flessibilità;</w:t>
      </w:r>
    </w:p>
    <w:p w14:paraId="3C602171" w14:textId="7C5F16CC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comunicare</w:t>
      </w:r>
      <w:proofErr w:type="gramEnd"/>
      <w:r w:rsidRPr="003E10E0">
        <w:t xml:space="preserve"> </w:t>
      </w:r>
      <w:r w:rsidR="00A20407" w:rsidRPr="003E10E0">
        <w:t xml:space="preserve">al personale </w:t>
      </w:r>
      <w:r w:rsidR="00A01F41">
        <w:t xml:space="preserve">e ai soci </w:t>
      </w:r>
      <w:r w:rsidR="00A20407" w:rsidRPr="003E10E0">
        <w:t xml:space="preserve">in modo </w:t>
      </w:r>
      <w:r w:rsidR="006B1D51" w:rsidRPr="003E10E0">
        <w:t>trasparente</w:t>
      </w:r>
      <w:r w:rsidR="00A20407" w:rsidRPr="003E10E0">
        <w:t xml:space="preserve"> gli impegni assunti dall</w:t>
      </w:r>
      <w:r w:rsidR="00962939" w:rsidRPr="003E10E0">
        <w:t>’</w:t>
      </w:r>
      <w:r w:rsidR="00A20407" w:rsidRPr="003E10E0">
        <w:t>azienda</w:t>
      </w:r>
      <w:r w:rsidR="00523D89" w:rsidRPr="003E10E0">
        <w:t>,</w:t>
      </w:r>
      <w:r w:rsidR="00A20407" w:rsidRPr="003E10E0">
        <w:t xml:space="preserve"> le iniziative intraprese</w:t>
      </w:r>
      <w:r w:rsidR="00523D89" w:rsidRPr="003E10E0">
        <w:t>,</w:t>
      </w:r>
      <w:r w:rsidR="00A20407" w:rsidRPr="003E10E0">
        <w:t xml:space="preserve"> i r</w:t>
      </w:r>
      <w:r w:rsidR="00766504" w:rsidRPr="003E10E0">
        <w:t>isultati e i progressi ottenuti</w:t>
      </w:r>
      <w:r w:rsidR="00467069" w:rsidRPr="003E10E0">
        <w:t xml:space="preserve"> e favorirne la diffusione</w:t>
      </w:r>
      <w:r w:rsidR="00766504" w:rsidRPr="003E10E0">
        <w:t>;</w:t>
      </w:r>
    </w:p>
    <w:p w14:paraId="4EEFCE6E" w14:textId="77777777" w:rsidR="00766504" w:rsidRPr="003E10E0" w:rsidRDefault="00766504" w:rsidP="00523D89">
      <w:pPr>
        <w:pStyle w:val="Paragrafoelenco"/>
        <w:widowControl w:val="0"/>
      </w:pPr>
      <w:proofErr w:type="gramStart"/>
      <w:r w:rsidRPr="003E10E0">
        <w:t>si</w:t>
      </w:r>
      <w:proofErr w:type="gramEnd"/>
      <w:r w:rsidRPr="003E10E0">
        <w:t xml:space="preserve"> propone di:</w:t>
      </w:r>
    </w:p>
    <w:p w14:paraId="60CF3EC1" w14:textId="77777777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  <w:rPr>
          <w:spacing w:val="-2"/>
        </w:rPr>
      </w:pPr>
      <w:proofErr w:type="gramStart"/>
      <w:r w:rsidRPr="003E10E0">
        <w:rPr>
          <w:spacing w:val="-2"/>
        </w:rPr>
        <w:t>avviare</w:t>
      </w:r>
      <w:proofErr w:type="gramEnd"/>
      <w:r w:rsidRPr="003E10E0">
        <w:rPr>
          <w:spacing w:val="-2"/>
        </w:rPr>
        <w:t xml:space="preserve"> </w:t>
      </w:r>
      <w:r w:rsidR="00766504" w:rsidRPr="003E10E0">
        <w:rPr>
          <w:spacing w:val="-2"/>
        </w:rPr>
        <w:t>una c</w:t>
      </w:r>
      <w:r w:rsidR="00A20407" w:rsidRPr="003E10E0">
        <w:rPr>
          <w:spacing w:val="-2"/>
        </w:rPr>
        <w:t>omunicazione aperta rispettosa di tutti i dipendenti</w:t>
      </w:r>
      <w:r w:rsidR="00467069" w:rsidRPr="003E10E0">
        <w:rPr>
          <w:spacing w:val="-2"/>
        </w:rPr>
        <w:t>,</w:t>
      </w:r>
      <w:r w:rsidR="00A20407" w:rsidRPr="003E10E0">
        <w:rPr>
          <w:spacing w:val="-2"/>
        </w:rPr>
        <w:t xml:space="preserve"> indipendentemente </w:t>
      </w:r>
      <w:r w:rsidR="0004672E" w:rsidRPr="003E10E0">
        <w:rPr>
          <w:spacing w:val="-2"/>
        </w:rPr>
        <w:t>da</w:t>
      </w:r>
      <w:r w:rsidR="00A20407" w:rsidRPr="003E10E0">
        <w:rPr>
          <w:spacing w:val="-2"/>
        </w:rPr>
        <w:t xml:space="preserve"> titolo o livello</w:t>
      </w:r>
      <w:r w:rsidR="00766504" w:rsidRPr="003E10E0">
        <w:rPr>
          <w:spacing w:val="-2"/>
        </w:rPr>
        <w:t>;</w:t>
      </w:r>
    </w:p>
    <w:p w14:paraId="09A7686E" w14:textId="77777777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fare</w:t>
      </w:r>
      <w:proofErr w:type="gramEnd"/>
      <w:r w:rsidRPr="003E10E0">
        <w:t xml:space="preserve"> </w:t>
      </w:r>
      <w:r w:rsidR="00A20407" w:rsidRPr="003E10E0">
        <w:t xml:space="preserve">campagne di sensibilizzazione, eventi di divulgazione e seminari informativi sui temi della </w:t>
      </w:r>
      <w:r w:rsidR="00467069" w:rsidRPr="003E10E0">
        <w:t>diversità</w:t>
      </w:r>
      <w:r w:rsidR="00A20407" w:rsidRPr="003E10E0">
        <w:t xml:space="preserve"> e </w:t>
      </w:r>
      <w:r w:rsidR="00766504" w:rsidRPr="003E10E0">
        <w:t>dell</w:t>
      </w:r>
      <w:r w:rsidR="00962939" w:rsidRPr="003E10E0">
        <w:t>’</w:t>
      </w:r>
      <w:r w:rsidR="00766504" w:rsidRPr="003E10E0">
        <w:t>inclusione;</w:t>
      </w:r>
    </w:p>
    <w:p w14:paraId="765DF02A" w14:textId="77777777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attivare</w:t>
      </w:r>
      <w:proofErr w:type="gramEnd"/>
      <w:r w:rsidRPr="003E10E0">
        <w:t xml:space="preserve"> </w:t>
      </w:r>
      <w:r w:rsidR="00A20407" w:rsidRPr="003E10E0">
        <w:t xml:space="preserve">percorsi di formazione sugli stili manageriali, </w:t>
      </w:r>
      <w:r w:rsidR="00A20407" w:rsidRPr="003E10E0">
        <w:rPr>
          <w:i/>
        </w:rPr>
        <w:t>leadership</w:t>
      </w:r>
      <w:r w:rsidR="00A20407" w:rsidRPr="003E10E0">
        <w:t xml:space="preserve"> e gestione dei team di lavoro incentra</w:t>
      </w:r>
      <w:r w:rsidR="00766504" w:rsidRPr="003E10E0">
        <w:t>ti sul rispetto della diversità;</w:t>
      </w:r>
    </w:p>
    <w:p w14:paraId="0CD381E8" w14:textId="77777777" w:rsidR="006534BD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aderire</w:t>
      </w:r>
      <w:proofErr w:type="gramEnd"/>
      <w:r w:rsidRPr="003E10E0">
        <w:t xml:space="preserve"> </w:t>
      </w:r>
      <w:r w:rsidR="00A20407" w:rsidRPr="003E10E0">
        <w:t>a protocolli nazionali</w:t>
      </w:r>
      <w:r w:rsidR="00467069" w:rsidRPr="003E10E0">
        <w:t xml:space="preserve"> in materia</w:t>
      </w:r>
      <w:r w:rsidR="006534BD" w:rsidRPr="003E10E0">
        <w:t>;</w:t>
      </w:r>
    </w:p>
    <w:p w14:paraId="292B647E" w14:textId="77777777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sviluppare</w:t>
      </w:r>
      <w:proofErr w:type="gramEnd"/>
      <w:r w:rsidRPr="003E10E0">
        <w:t xml:space="preserve"> </w:t>
      </w:r>
      <w:r w:rsidR="00A20407" w:rsidRPr="003E10E0">
        <w:t xml:space="preserve">politiche retributive di strumenti di </w:t>
      </w:r>
      <w:r w:rsidR="00A20407" w:rsidRPr="003E10E0">
        <w:rPr>
          <w:i/>
        </w:rPr>
        <w:t>welfare</w:t>
      </w:r>
      <w:r w:rsidR="00A20407" w:rsidRPr="003E10E0">
        <w:t xml:space="preserve"> e </w:t>
      </w:r>
      <w:r w:rsidR="00240C30" w:rsidRPr="003E10E0">
        <w:rPr>
          <w:i/>
        </w:rPr>
        <w:t xml:space="preserve">work life balance </w:t>
      </w:r>
      <w:r w:rsidR="00A20407" w:rsidRPr="003E10E0">
        <w:t>anche per un</w:t>
      </w:r>
      <w:r w:rsidR="00962939" w:rsidRPr="003E10E0">
        <w:t>’</w:t>
      </w:r>
      <w:r w:rsidR="00A20407" w:rsidRPr="003E10E0">
        <w:t>azione di fidelizzazione delle persone di talento</w:t>
      </w:r>
      <w:r w:rsidR="00766504" w:rsidRPr="003E10E0">
        <w:t>;</w:t>
      </w:r>
    </w:p>
    <w:p w14:paraId="00BB0CFF" w14:textId="77777777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sintetizzare</w:t>
      </w:r>
      <w:proofErr w:type="gramEnd"/>
      <w:r w:rsidRPr="003E10E0">
        <w:t xml:space="preserve"> </w:t>
      </w:r>
      <w:r w:rsidR="00A20407" w:rsidRPr="003E10E0">
        <w:t>tutte le politiche di formazione</w:t>
      </w:r>
      <w:r w:rsidR="00523D89" w:rsidRPr="003E10E0">
        <w:t xml:space="preserve"> sul</w:t>
      </w:r>
      <w:r w:rsidR="00A20407" w:rsidRPr="003E10E0">
        <w:t xml:space="preserve"> benessere organiz</w:t>
      </w:r>
      <w:r w:rsidR="00766504" w:rsidRPr="003E10E0">
        <w:t xml:space="preserve">zativo orientate alla </w:t>
      </w:r>
      <w:r w:rsidR="00467069" w:rsidRPr="003E10E0">
        <w:t>diversità</w:t>
      </w:r>
      <w:r w:rsidR="00766504" w:rsidRPr="003E10E0">
        <w:t>;</w:t>
      </w:r>
    </w:p>
    <w:p w14:paraId="22EE303C" w14:textId="5734A179" w:rsidR="00A20407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predisporre</w:t>
      </w:r>
      <w:proofErr w:type="gramEnd"/>
      <w:r w:rsidR="00B143AA">
        <w:t>, a cura del Comitato guida</w:t>
      </w:r>
      <w:r w:rsidR="00766504" w:rsidRPr="003E10E0">
        <w:t xml:space="preserve">, modalità di </w:t>
      </w:r>
      <w:r w:rsidR="00A20407" w:rsidRPr="003E10E0">
        <w:t>monitoraggio e reportistica</w:t>
      </w:r>
      <w:r w:rsidR="00766504" w:rsidRPr="003E10E0">
        <w:t xml:space="preserve"> allo scopo di rendere trasparente il percorso in atto rendendolo pubblico a tutti gli </w:t>
      </w:r>
      <w:r w:rsidR="00467069" w:rsidRPr="003E10E0">
        <w:rPr>
          <w:i/>
        </w:rPr>
        <w:t>stakeholder</w:t>
      </w:r>
      <w:r w:rsidR="00467069" w:rsidRPr="003E10E0">
        <w:t xml:space="preserve"> societari</w:t>
      </w:r>
      <w:r w:rsidR="006534BD" w:rsidRPr="003E10E0">
        <w:t>;</w:t>
      </w:r>
    </w:p>
    <w:p w14:paraId="26BD3DF9" w14:textId="77777777" w:rsidR="00763671" w:rsidRPr="003E10E0" w:rsidRDefault="00A14FC2" w:rsidP="00523D89">
      <w:pPr>
        <w:pStyle w:val="Paragrafoelenco"/>
        <w:widowControl w:val="0"/>
        <w:numPr>
          <w:ilvl w:val="0"/>
          <w:numId w:val="25"/>
        </w:numPr>
        <w:ind w:left="284" w:hanging="284"/>
      </w:pPr>
      <w:proofErr w:type="gramStart"/>
      <w:r w:rsidRPr="003E10E0">
        <w:t>promuovere</w:t>
      </w:r>
      <w:proofErr w:type="gramEnd"/>
      <w:r w:rsidRPr="003E10E0">
        <w:t xml:space="preserve"> </w:t>
      </w:r>
      <w:r w:rsidR="00641DA1" w:rsidRPr="003E10E0">
        <w:t>iniziative finalizzate all</w:t>
      </w:r>
      <w:r w:rsidR="00962939" w:rsidRPr="003E10E0">
        <w:t>’</w:t>
      </w:r>
      <w:r w:rsidR="00641DA1" w:rsidRPr="003E10E0">
        <w:t>inclusione nell</w:t>
      </w:r>
      <w:r w:rsidR="00962939" w:rsidRPr="003E10E0">
        <w:t>’</w:t>
      </w:r>
      <w:r w:rsidR="00641DA1" w:rsidRPr="003E10E0">
        <w:t>ambito delle politiche di</w:t>
      </w:r>
      <w:r w:rsidR="006534BD" w:rsidRPr="003E10E0">
        <w:t xml:space="preserve"> </w:t>
      </w:r>
      <w:r w:rsidR="006534BD" w:rsidRPr="003E10E0">
        <w:rPr>
          <w:i/>
        </w:rPr>
        <w:t>welfare</w:t>
      </w:r>
      <w:r w:rsidR="006534BD" w:rsidRPr="003E10E0">
        <w:t xml:space="preserve"> e di </w:t>
      </w:r>
      <w:r w:rsidR="006534BD" w:rsidRPr="003E10E0">
        <w:rPr>
          <w:i/>
        </w:rPr>
        <w:t>work life balance</w:t>
      </w:r>
      <w:r w:rsidR="006534BD" w:rsidRPr="003E10E0">
        <w:t>.</w:t>
      </w:r>
    </w:p>
    <w:p w14:paraId="44FF4612" w14:textId="77777777" w:rsidR="009727C3" w:rsidRPr="003E10E0" w:rsidRDefault="009727C3" w:rsidP="00523D89">
      <w:pPr>
        <w:pStyle w:val="Paragrafoelenco"/>
        <w:widowControl w:val="0"/>
      </w:pPr>
    </w:p>
    <w:p w14:paraId="1030031C" w14:textId="5FAD467F" w:rsidR="00467069" w:rsidRPr="00034C22" w:rsidRDefault="00B143AA" w:rsidP="00523D89">
      <w:pPr>
        <w:pStyle w:val="Paragrafoelenco"/>
        <w:widowControl w:val="0"/>
      </w:pPr>
      <w:proofErr w:type="spellStart"/>
      <w:r>
        <w:t>Viveracqua</w:t>
      </w:r>
      <w:proofErr w:type="spellEnd"/>
      <w:r w:rsidR="00467069" w:rsidRPr="003E10E0">
        <w:t xml:space="preserve"> rendiconta annualmente le principali attività sopra </w:t>
      </w:r>
      <w:bookmarkStart w:id="21" w:name="_GoBack"/>
      <w:bookmarkEnd w:id="21"/>
      <w:r w:rsidR="00467069" w:rsidRPr="003E10E0">
        <w:t xml:space="preserve">indicate </w:t>
      </w:r>
      <w:r w:rsidR="00F7491B" w:rsidRPr="003E10E0">
        <w:t>nel Bilancio di sostenibilità.</w:t>
      </w:r>
      <w:r w:rsidR="00962939">
        <w:t xml:space="preserve"> </w:t>
      </w:r>
    </w:p>
    <w:sectPr w:rsidR="00467069" w:rsidRPr="00034C22" w:rsidSect="008826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276" w:bottom="1276" w:left="1418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34E3A" w14:textId="77777777" w:rsidR="00055CB2" w:rsidRDefault="00055CB2" w:rsidP="002E5082">
      <w:r>
        <w:separator/>
      </w:r>
    </w:p>
  </w:endnote>
  <w:endnote w:type="continuationSeparator" w:id="0">
    <w:p w14:paraId="0D681946" w14:textId="77777777" w:rsidR="00055CB2" w:rsidRDefault="00055CB2" w:rsidP="002E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9CA1E" w14:textId="77777777" w:rsidR="00ED6D8B" w:rsidRDefault="00ED6D8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top w:val="single" w:sz="12" w:space="0" w:color="67888F"/>
      </w:tblBorders>
      <w:shd w:val="clear" w:color="auto" w:fill="D0CECE" w:themeFill="background2" w:themeFillShade="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52"/>
      <w:gridCol w:w="6662"/>
    </w:tblGrid>
    <w:tr w:rsidR="00240C30" w:rsidRPr="00697D1D" w14:paraId="61051401" w14:textId="77777777" w:rsidTr="008826FB">
      <w:tc>
        <w:tcPr>
          <w:tcW w:w="2552" w:type="dxa"/>
          <w:shd w:val="clear" w:color="auto" w:fill="auto"/>
          <w:vAlign w:val="center"/>
        </w:tcPr>
        <w:p w14:paraId="4B142BA1" w14:textId="78E7A728" w:rsidR="00240C30" w:rsidRPr="00697D1D" w:rsidRDefault="00240C30" w:rsidP="00A1575B">
          <w:pPr>
            <w:rPr>
              <w:rFonts w:ascii="Gill Sans MT" w:hAnsi="Gill Sans MT"/>
              <w:color w:val="67888F"/>
            </w:rPr>
          </w:pPr>
          <w:r w:rsidRPr="00697D1D">
            <w:rPr>
              <w:rFonts w:ascii="Gill Sans MT" w:hAnsi="Gill Sans MT"/>
              <w:color w:val="67888F"/>
            </w:rPr>
            <w:t xml:space="preserve">rev. </w:t>
          </w:r>
          <w:r>
            <w:rPr>
              <w:rFonts w:ascii="Gill Sans MT" w:hAnsi="Gill Sans MT"/>
              <w:color w:val="67888F"/>
            </w:rPr>
            <w:t>0</w:t>
          </w:r>
          <w:r w:rsidR="00A1575B">
            <w:rPr>
              <w:rFonts w:ascii="Gill Sans MT" w:hAnsi="Gill Sans MT"/>
              <w:color w:val="67888F"/>
            </w:rPr>
            <w:t>1</w:t>
          </w:r>
          <w:r w:rsidRPr="00697D1D">
            <w:rPr>
              <w:rFonts w:ascii="Gill Sans MT" w:hAnsi="Gill Sans MT"/>
              <w:color w:val="67888F"/>
            </w:rPr>
            <w:t xml:space="preserve"> del </w:t>
          </w:r>
          <w:r w:rsidR="00A1575B">
            <w:rPr>
              <w:rFonts w:ascii="Gill Sans MT" w:hAnsi="Gill Sans MT"/>
              <w:color w:val="67888F"/>
            </w:rPr>
            <w:t>25</w:t>
          </w:r>
          <w:r w:rsidR="00713D79">
            <w:rPr>
              <w:rFonts w:ascii="Gill Sans MT" w:hAnsi="Gill Sans MT"/>
              <w:color w:val="67888F"/>
            </w:rPr>
            <w:t>.08.2023</w:t>
          </w:r>
        </w:p>
      </w:tc>
      <w:tc>
        <w:tcPr>
          <w:tcW w:w="6662" w:type="dxa"/>
          <w:shd w:val="clear" w:color="auto" w:fill="auto"/>
          <w:vAlign w:val="center"/>
        </w:tcPr>
        <w:p w14:paraId="5FDA9EA5" w14:textId="77777777" w:rsidR="00240C30" w:rsidRPr="00697D1D" w:rsidRDefault="00240C30" w:rsidP="00240C30">
          <w:pPr>
            <w:jc w:val="right"/>
            <w:rPr>
              <w:rFonts w:ascii="Gill Sans MT" w:hAnsi="Gill Sans MT"/>
              <w:b/>
              <w:i/>
              <w:color w:val="67888F"/>
            </w:rPr>
          </w:pPr>
          <w:proofErr w:type="gramStart"/>
          <w:r w:rsidRPr="00697D1D">
            <w:rPr>
              <w:rFonts w:ascii="Gill Sans MT" w:hAnsi="Gill Sans MT"/>
              <w:color w:val="67888F"/>
            </w:rPr>
            <w:t>pagina</w:t>
          </w:r>
          <w:proofErr w:type="gramEnd"/>
          <w:r w:rsidRPr="00697D1D">
            <w:rPr>
              <w:rFonts w:ascii="Gill Sans MT" w:hAnsi="Gill Sans MT"/>
              <w:color w:val="67888F"/>
            </w:rPr>
            <w:t xml:space="preserve"> </w:t>
          </w:r>
          <w:r w:rsidRPr="00697D1D">
            <w:rPr>
              <w:rFonts w:ascii="Gill Sans MT" w:hAnsi="Gill Sans MT"/>
              <w:color w:val="67888F"/>
            </w:rPr>
            <w:fldChar w:fldCharType="begin"/>
          </w:r>
          <w:r w:rsidRPr="00697D1D">
            <w:rPr>
              <w:rFonts w:ascii="Gill Sans MT" w:hAnsi="Gill Sans MT"/>
              <w:color w:val="67888F"/>
            </w:rPr>
            <w:instrText xml:space="preserve"> PAGE </w:instrText>
          </w:r>
          <w:r w:rsidRPr="00697D1D">
            <w:rPr>
              <w:rFonts w:ascii="Gill Sans MT" w:hAnsi="Gill Sans MT"/>
              <w:color w:val="67888F"/>
            </w:rPr>
            <w:fldChar w:fldCharType="separate"/>
          </w:r>
          <w:r w:rsidR="005E722E">
            <w:rPr>
              <w:rFonts w:ascii="Gill Sans MT" w:hAnsi="Gill Sans MT"/>
              <w:noProof/>
              <w:color w:val="67888F"/>
            </w:rPr>
            <w:t>8</w:t>
          </w:r>
          <w:r w:rsidRPr="00697D1D">
            <w:rPr>
              <w:rFonts w:ascii="Gill Sans MT" w:hAnsi="Gill Sans MT"/>
              <w:color w:val="67888F"/>
            </w:rPr>
            <w:fldChar w:fldCharType="end"/>
          </w:r>
          <w:r w:rsidRPr="00697D1D">
            <w:rPr>
              <w:rFonts w:ascii="Gill Sans MT" w:hAnsi="Gill Sans MT"/>
              <w:color w:val="67888F"/>
            </w:rPr>
            <w:t xml:space="preserve"> di </w:t>
          </w:r>
          <w:r w:rsidRPr="00697D1D">
            <w:rPr>
              <w:rFonts w:ascii="Gill Sans MT" w:hAnsi="Gill Sans MT"/>
              <w:color w:val="67888F"/>
            </w:rPr>
            <w:fldChar w:fldCharType="begin"/>
          </w:r>
          <w:r w:rsidRPr="00697D1D">
            <w:rPr>
              <w:rFonts w:ascii="Gill Sans MT" w:hAnsi="Gill Sans MT"/>
              <w:color w:val="67888F"/>
            </w:rPr>
            <w:instrText xml:space="preserve"> NUMPAGES </w:instrText>
          </w:r>
          <w:r w:rsidRPr="00697D1D">
            <w:rPr>
              <w:rFonts w:ascii="Gill Sans MT" w:hAnsi="Gill Sans MT"/>
              <w:color w:val="67888F"/>
            </w:rPr>
            <w:fldChar w:fldCharType="separate"/>
          </w:r>
          <w:r w:rsidR="005E722E">
            <w:rPr>
              <w:rFonts w:ascii="Gill Sans MT" w:hAnsi="Gill Sans MT"/>
              <w:noProof/>
              <w:color w:val="67888F"/>
            </w:rPr>
            <w:t>8</w:t>
          </w:r>
          <w:r w:rsidRPr="00697D1D">
            <w:rPr>
              <w:rFonts w:ascii="Gill Sans MT" w:hAnsi="Gill Sans MT"/>
              <w:color w:val="67888F"/>
            </w:rPr>
            <w:fldChar w:fldCharType="end"/>
          </w:r>
        </w:p>
      </w:tc>
    </w:tr>
  </w:tbl>
  <w:p w14:paraId="1ADD5211" w14:textId="77777777" w:rsidR="00240C30" w:rsidRPr="00697D1D" w:rsidRDefault="00240C30" w:rsidP="00240C30">
    <w:pPr>
      <w:pStyle w:val="Pidipagina"/>
      <w:rPr>
        <w:rFonts w:ascii="Gill Sans MT" w:hAnsi="Gill Sans MT"/>
        <w:color w:val="67888F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58C6A" w14:textId="2310AA74" w:rsidR="007B1047" w:rsidRDefault="00477336" w:rsidP="007B1047">
    <w:pPr>
      <w:pStyle w:val="Pidipagina"/>
      <w:tabs>
        <w:tab w:val="clear" w:pos="4819"/>
        <w:tab w:val="clear" w:pos="9638"/>
        <w:tab w:val="left" w:pos="397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C420F0D" wp14:editId="375137B5">
          <wp:simplePos x="0" y="0"/>
          <wp:positionH relativeFrom="column">
            <wp:posOffset>-436406</wp:posOffset>
          </wp:positionH>
          <wp:positionV relativeFrom="paragraph">
            <wp:posOffset>-332285</wp:posOffset>
          </wp:positionV>
          <wp:extent cx="6606471" cy="675564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471" cy="675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047">
      <w:tab/>
    </w:r>
  </w:p>
  <w:p w14:paraId="1B88A2D7" w14:textId="77777777" w:rsidR="007B1047" w:rsidRDefault="007B10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AA337" w14:textId="77777777" w:rsidR="00055CB2" w:rsidRDefault="00055CB2" w:rsidP="002E5082">
      <w:r>
        <w:separator/>
      </w:r>
    </w:p>
  </w:footnote>
  <w:footnote w:type="continuationSeparator" w:id="0">
    <w:p w14:paraId="4AD5C24A" w14:textId="77777777" w:rsidR="00055CB2" w:rsidRDefault="00055CB2" w:rsidP="002E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033FC" w14:textId="77777777" w:rsidR="00ED6D8B" w:rsidRDefault="00ED6D8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tblBorders>
        <w:bottom w:val="single" w:sz="12" w:space="0" w:color="67888F"/>
      </w:tblBorders>
      <w:shd w:val="clear" w:color="auto" w:fill="D0CECE" w:themeFill="background2" w:themeFillShade="E6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</w:tblGrid>
    <w:tr w:rsidR="007B1047" w:rsidRPr="00A24DAC" w14:paraId="199EBBBD" w14:textId="77777777" w:rsidTr="008826FB">
      <w:tc>
        <w:tcPr>
          <w:tcW w:w="1418" w:type="dxa"/>
          <w:shd w:val="clear" w:color="auto" w:fill="auto"/>
        </w:tcPr>
        <w:p w14:paraId="3B7E0844" w14:textId="5B073ACB" w:rsidR="007B1047" w:rsidRPr="00B26BB5" w:rsidRDefault="00477336" w:rsidP="007B1047">
          <w:pPr>
            <w:rPr>
              <w:rFonts w:ascii="Gill Sans MT" w:hAnsi="Gill Sans MT"/>
              <w:noProof/>
              <w:color w:val="67888F"/>
            </w:rPr>
          </w:pPr>
          <w:r>
            <w:rPr>
              <w:rFonts w:ascii="Gill Sans MT" w:hAnsi="Gill Sans MT"/>
              <w:noProof/>
              <w:color w:val="67888F"/>
            </w:rPr>
            <w:t>Viveracqua</w:t>
          </w:r>
        </w:p>
      </w:tc>
      <w:tc>
        <w:tcPr>
          <w:tcW w:w="7796" w:type="dxa"/>
          <w:shd w:val="clear" w:color="auto" w:fill="auto"/>
        </w:tcPr>
        <w:p w14:paraId="6D0FFE61" w14:textId="77777777" w:rsidR="007B1047" w:rsidRPr="00A24DAC" w:rsidRDefault="00763671" w:rsidP="00A14FC2">
          <w:pPr>
            <w:ind w:left="181"/>
            <w:jc w:val="right"/>
            <w:rPr>
              <w:rFonts w:ascii="Gill Sans MT" w:hAnsi="Gill Sans MT"/>
              <w:b/>
              <w:color w:val="67888F"/>
            </w:rPr>
          </w:pPr>
          <w:r>
            <w:rPr>
              <w:rFonts w:ascii="Gill Sans MT" w:hAnsi="Gill Sans MT"/>
              <w:b/>
              <w:color w:val="67888F"/>
            </w:rPr>
            <w:t>Politiche di inclu</w:t>
          </w:r>
          <w:r w:rsidRPr="00763671">
            <w:rPr>
              <w:rFonts w:ascii="Gill Sans MT" w:hAnsi="Gill Sans MT"/>
              <w:b/>
              <w:color w:val="67888F"/>
            </w:rPr>
            <w:t>sion</w:t>
          </w:r>
          <w:r>
            <w:rPr>
              <w:rFonts w:ascii="Gill Sans MT" w:hAnsi="Gill Sans MT"/>
              <w:b/>
              <w:color w:val="67888F"/>
            </w:rPr>
            <w:t>e e valorizzazione delle diffe</w:t>
          </w:r>
          <w:r w:rsidRPr="00763671">
            <w:rPr>
              <w:rFonts w:ascii="Gill Sans MT" w:hAnsi="Gill Sans MT"/>
              <w:b/>
              <w:color w:val="67888F"/>
            </w:rPr>
            <w:t>renze</w:t>
          </w:r>
        </w:p>
      </w:tc>
    </w:tr>
  </w:tbl>
  <w:p w14:paraId="7994F5BB" w14:textId="77777777" w:rsidR="007B1047" w:rsidRDefault="007B10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980F3" w14:textId="5C19BFB6" w:rsidR="00477336" w:rsidRDefault="004773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57B9A82" wp14:editId="7AEA8CE8">
          <wp:simplePos x="0" y="0"/>
          <wp:positionH relativeFrom="margin">
            <wp:posOffset>-927669</wp:posOffset>
          </wp:positionH>
          <wp:positionV relativeFrom="paragraph">
            <wp:posOffset>-245745</wp:posOffset>
          </wp:positionV>
          <wp:extent cx="7463954" cy="690326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954" cy="690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1314"/>
    <w:multiLevelType w:val="hybridMultilevel"/>
    <w:tmpl w:val="211801C8"/>
    <w:lvl w:ilvl="0" w:tplc="2932C0C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3E6575"/>
        <w:spacing w:val="0"/>
        <w:kern w:val="0"/>
        <w:position w:val="0"/>
        <w:sz w:val="20"/>
        <w:u w:val="none"/>
        <w:vertAlign w:val="baseline"/>
        <w14:cntxtAlts w14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7025"/>
    <w:multiLevelType w:val="hybridMultilevel"/>
    <w:tmpl w:val="D85E0C48"/>
    <w:lvl w:ilvl="0" w:tplc="F83CC562">
      <w:start w:val="1"/>
      <w:numFmt w:val="lowerRoman"/>
      <w:lvlText w:val="%1)"/>
      <w:lvlJc w:val="left"/>
      <w:pPr>
        <w:ind w:left="1476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36" w:hanging="360"/>
      </w:pPr>
    </w:lvl>
    <w:lvl w:ilvl="2" w:tplc="0410001B" w:tentative="1">
      <w:start w:val="1"/>
      <w:numFmt w:val="lowerRoman"/>
      <w:lvlText w:val="%3."/>
      <w:lvlJc w:val="right"/>
      <w:pPr>
        <w:ind w:left="2556" w:hanging="180"/>
      </w:pPr>
    </w:lvl>
    <w:lvl w:ilvl="3" w:tplc="0410000F" w:tentative="1">
      <w:start w:val="1"/>
      <w:numFmt w:val="decimal"/>
      <w:lvlText w:val="%4."/>
      <w:lvlJc w:val="left"/>
      <w:pPr>
        <w:ind w:left="3276" w:hanging="360"/>
      </w:pPr>
    </w:lvl>
    <w:lvl w:ilvl="4" w:tplc="04100019" w:tentative="1">
      <w:start w:val="1"/>
      <w:numFmt w:val="lowerLetter"/>
      <w:lvlText w:val="%5."/>
      <w:lvlJc w:val="left"/>
      <w:pPr>
        <w:ind w:left="3996" w:hanging="360"/>
      </w:pPr>
    </w:lvl>
    <w:lvl w:ilvl="5" w:tplc="0410001B" w:tentative="1">
      <w:start w:val="1"/>
      <w:numFmt w:val="lowerRoman"/>
      <w:lvlText w:val="%6."/>
      <w:lvlJc w:val="right"/>
      <w:pPr>
        <w:ind w:left="4716" w:hanging="180"/>
      </w:pPr>
    </w:lvl>
    <w:lvl w:ilvl="6" w:tplc="0410000F" w:tentative="1">
      <w:start w:val="1"/>
      <w:numFmt w:val="decimal"/>
      <w:lvlText w:val="%7."/>
      <w:lvlJc w:val="left"/>
      <w:pPr>
        <w:ind w:left="5436" w:hanging="360"/>
      </w:pPr>
    </w:lvl>
    <w:lvl w:ilvl="7" w:tplc="04100019" w:tentative="1">
      <w:start w:val="1"/>
      <w:numFmt w:val="lowerLetter"/>
      <w:lvlText w:val="%8."/>
      <w:lvlJc w:val="left"/>
      <w:pPr>
        <w:ind w:left="6156" w:hanging="360"/>
      </w:pPr>
    </w:lvl>
    <w:lvl w:ilvl="8" w:tplc="0410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" w15:restartNumberingAfterBreak="0">
    <w:nsid w:val="0BF97EA6"/>
    <w:multiLevelType w:val="hybridMultilevel"/>
    <w:tmpl w:val="F3825F66"/>
    <w:lvl w:ilvl="0" w:tplc="37B6BE8A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3E6575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46023"/>
    <w:multiLevelType w:val="hybridMultilevel"/>
    <w:tmpl w:val="B234E410"/>
    <w:lvl w:ilvl="0" w:tplc="2932C0C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3E6575"/>
        <w:spacing w:val="0"/>
        <w:kern w:val="0"/>
        <w:position w:val="0"/>
        <w:sz w:val="20"/>
        <w:u w:val="none"/>
        <w:vertAlign w:val="baseline"/>
        <w14:cntxtAlts w14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231A9"/>
    <w:multiLevelType w:val="hybridMultilevel"/>
    <w:tmpl w:val="CC600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25AA3"/>
    <w:multiLevelType w:val="hybridMultilevel"/>
    <w:tmpl w:val="C952E33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2611BDB"/>
    <w:multiLevelType w:val="hybridMultilevel"/>
    <w:tmpl w:val="9F5031CC"/>
    <w:lvl w:ilvl="0" w:tplc="37B6BE8A">
      <w:start w:val="1"/>
      <w:numFmt w:val="bullet"/>
      <w:lvlText w:val="■"/>
      <w:lvlJc w:val="left"/>
      <w:pPr>
        <w:ind w:left="765" w:hanging="360"/>
      </w:pPr>
      <w:rPr>
        <w:rFonts w:ascii="Times New Roman" w:hAnsi="Times New Roman" w:cs="Times New Roman" w:hint="default"/>
        <w:color w:val="3E6575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1021AD"/>
    <w:multiLevelType w:val="hybridMultilevel"/>
    <w:tmpl w:val="4692C6CE"/>
    <w:lvl w:ilvl="0" w:tplc="37B6BE8A">
      <w:start w:val="1"/>
      <w:numFmt w:val="bullet"/>
      <w:lvlText w:val="■"/>
      <w:lvlJc w:val="left"/>
      <w:pPr>
        <w:ind w:left="1080" w:hanging="360"/>
      </w:pPr>
      <w:rPr>
        <w:rFonts w:ascii="Times New Roman" w:hAnsi="Times New Roman" w:cs="Times New Roman" w:hint="default"/>
        <w:color w:val="3E657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27BDC"/>
    <w:multiLevelType w:val="hybridMultilevel"/>
    <w:tmpl w:val="C8DC5658"/>
    <w:lvl w:ilvl="0" w:tplc="535EA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B72F7"/>
    <w:multiLevelType w:val="hybridMultilevel"/>
    <w:tmpl w:val="8E027C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517C0"/>
    <w:multiLevelType w:val="hybridMultilevel"/>
    <w:tmpl w:val="B3CC2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523EA"/>
    <w:multiLevelType w:val="hybridMultilevel"/>
    <w:tmpl w:val="0AE08476"/>
    <w:lvl w:ilvl="0" w:tplc="37B6BE8A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3E657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93BD7"/>
    <w:multiLevelType w:val="hybridMultilevel"/>
    <w:tmpl w:val="CB1C90C6"/>
    <w:lvl w:ilvl="0" w:tplc="37B6BE8A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3E657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14C00"/>
    <w:multiLevelType w:val="hybridMultilevel"/>
    <w:tmpl w:val="E0F6F9FC"/>
    <w:lvl w:ilvl="0" w:tplc="37B6BE8A">
      <w:start w:val="1"/>
      <w:numFmt w:val="bullet"/>
      <w:lvlText w:val="■"/>
      <w:lvlJc w:val="left"/>
      <w:pPr>
        <w:ind w:left="1080" w:hanging="360"/>
      </w:pPr>
      <w:rPr>
        <w:rFonts w:ascii="Times New Roman" w:hAnsi="Times New Roman" w:cs="Times New Roman" w:hint="default"/>
        <w:color w:val="3E6575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B412EE"/>
    <w:multiLevelType w:val="multilevel"/>
    <w:tmpl w:val="C85CFD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4B15922"/>
    <w:multiLevelType w:val="hybridMultilevel"/>
    <w:tmpl w:val="3698C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63869"/>
    <w:multiLevelType w:val="hybridMultilevel"/>
    <w:tmpl w:val="B1DAA66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AF464B2"/>
    <w:multiLevelType w:val="multilevel"/>
    <w:tmpl w:val="9C3C34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DB6401"/>
    <w:multiLevelType w:val="hybridMultilevel"/>
    <w:tmpl w:val="83C21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70F64"/>
    <w:multiLevelType w:val="hybridMultilevel"/>
    <w:tmpl w:val="F7FAC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024E2"/>
    <w:multiLevelType w:val="hybridMultilevel"/>
    <w:tmpl w:val="35A68788"/>
    <w:lvl w:ilvl="0" w:tplc="2932C0C8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3E6575"/>
        <w:spacing w:val="0"/>
        <w:kern w:val="0"/>
        <w:position w:val="0"/>
        <w:sz w:val="20"/>
        <w:u w:val="none"/>
        <w:vertAlign w:val="baseline"/>
        <w14:cntxtAlts w14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777D2"/>
    <w:multiLevelType w:val="hybridMultilevel"/>
    <w:tmpl w:val="1876D66C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9DB1354"/>
    <w:multiLevelType w:val="hybridMultilevel"/>
    <w:tmpl w:val="7DB06C2C"/>
    <w:lvl w:ilvl="0" w:tplc="37B6BE8A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3E657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5"/>
  </w:num>
  <w:num w:numId="5">
    <w:abstractNumId w:val="18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17"/>
  </w:num>
  <w:num w:numId="11">
    <w:abstractNumId w:val="22"/>
  </w:num>
  <w:num w:numId="12">
    <w:abstractNumId w:val="1"/>
  </w:num>
  <w:num w:numId="13">
    <w:abstractNumId w:val="4"/>
  </w:num>
  <w:num w:numId="14">
    <w:abstractNumId w:val="16"/>
  </w:num>
  <w:num w:numId="15">
    <w:abstractNumId w:val="10"/>
  </w:num>
  <w:num w:numId="16">
    <w:abstractNumId w:val="5"/>
  </w:num>
  <w:num w:numId="17">
    <w:abstractNumId w:val="6"/>
  </w:num>
  <w:num w:numId="18">
    <w:abstractNumId w:val="13"/>
  </w:num>
  <w:num w:numId="19">
    <w:abstractNumId w:val="7"/>
  </w:num>
  <w:num w:numId="20">
    <w:abstractNumId w:val="9"/>
  </w:num>
  <w:num w:numId="21">
    <w:abstractNumId w:val="21"/>
  </w:num>
  <w:num w:numId="22">
    <w:abstractNumId w:val="0"/>
  </w:num>
  <w:num w:numId="23">
    <w:abstractNumId w:val="8"/>
  </w:num>
  <w:num w:numId="24">
    <w:abstractNumId w:val="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07"/>
    <w:rsid w:val="00002785"/>
    <w:rsid w:val="00034C22"/>
    <w:rsid w:val="00035EFE"/>
    <w:rsid w:val="000403F6"/>
    <w:rsid w:val="0004672E"/>
    <w:rsid w:val="00055CB2"/>
    <w:rsid w:val="0006349A"/>
    <w:rsid w:val="00066067"/>
    <w:rsid w:val="00072EF7"/>
    <w:rsid w:val="000909DF"/>
    <w:rsid w:val="000B2DE2"/>
    <w:rsid w:val="000F1AF8"/>
    <w:rsid w:val="000F4AB6"/>
    <w:rsid w:val="000F6AB4"/>
    <w:rsid w:val="00110F37"/>
    <w:rsid w:val="0011745F"/>
    <w:rsid w:val="001540CF"/>
    <w:rsid w:val="00175BD6"/>
    <w:rsid w:val="00194EEF"/>
    <w:rsid w:val="001A3E48"/>
    <w:rsid w:val="001C23AD"/>
    <w:rsid w:val="001C7C4F"/>
    <w:rsid w:val="001D0C82"/>
    <w:rsid w:val="001D2A97"/>
    <w:rsid w:val="001D4A79"/>
    <w:rsid w:val="001F36E9"/>
    <w:rsid w:val="00222BF7"/>
    <w:rsid w:val="00240C30"/>
    <w:rsid w:val="002521D1"/>
    <w:rsid w:val="00260110"/>
    <w:rsid w:val="00266642"/>
    <w:rsid w:val="00273C7C"/>
    <w:rsid w:val="002765EE"/>
    <w:rsid w:val="00281842"/>
    <w:rsid w:val="002A5B91"/>
    <w:rsid w:val="002E5082"/>
    <w:rsid w:val="002F4E06"/>
    <w:rsid w:val="002F79A3"/>
    <w:rsid w:val="00314964"/>
    <w:rsid w:val="00361C6E"/>
    <w:rsid w:val="00370A73"/>
    <w:rsid w:val="00383855"/>
    <w:rsid w:val="003A1B34"/>
    <w:rsid w:val="003A560A"/>
    <w:rsid w:val="003B5AC8"/>
    <w:rsid w:val="003C462A"/>
    <w:rsid w:val="003E10E0"/>
    <w:rsid w:val="00407C9B"/>
    <w:rsid w:val="00410796"/>
    <w:rsid w:val="00426035"/>
    <w:rsid w:val="00462102"/>
    <w:rsid w:val="00467069"/>
    <w:rsid w:val="00477336"/>
    <w:rsid w:val="004A5B3D"/>
    <w:rsid w:val="004C793F"/>
    <w:rsid w:val="00511C3F"/>
    <w:rsid w:val="00523749"/>
    <w:rsid w:val="00523D89"/>
    <w:rsid w:val="00536335"/>
    <w:rsid w:val="00551ABB"/>
    <w:rsid w:val="00555EA9"/>
    <w:rsid w:val="005836BC"/>
    <w:rsid w:val="005B54F0"/>
    <w:rsid w:val="005C26B3"/>
    <w:rsid w:val="005C54A2"/>
    <w:rsid w:val="005C5F75"/>
    <w:rsid w:val="005D2909"/>
    <w:rsid w:val="005E6666"/>
    <w:rsid w:val="005E722E"/>
    <w:rsid w:val="00622813"/>
    <w:rsid w:val="00641DA1"/>
    <w:rsid w:val="006534BD"/>
    <w:rsid w:val="00654C0E"/>
    <w:rsid w:val="00662D56"/>
    <w:rsid w:val="006678F7"/>
    <w:rsid w:val="00685635"/>
    <w:rsid w:val="00686E2D"/>
    <w:rsid w:val="006B1D51"/>
    <w:rsid w:val="006D4434"/>
    <w:rsid w:val="006D45F4"/>
    <w:rsid w:val="00700993"/>
    <w:rsid w:val="00713D79"/>
    <w:rsid w:val="0073239D"/>
    <w:rsid w:val="007453D2"/>
    <w:rsid w:val="00763671"/>
    <w:rsid w:val="00766504"/>
    <w:rsid w:val="00787EA2"/>
    <w:rsid w:val="007B1047"/>
    <w:rsid w:val="007C1D74"/>
    <w:rsid w:val="007D3849"/>
    <w:rsid w:val="007D66CC"/>
    <w:rsid w:val="007E150C"/>
    <w:rsid w:val="007E7A59"/>
    <w:rsid w:val="007F36C1"/>
    <w:rsid w:val="00824AEC"/>
    <w:rsid w:val="0085148D"/>
    <w:rsid w:val="00873D67"/>
    <w:rsid w:val="00877453"/>
    <w:rsid w:val="008826FB"/>
    <w:rsid w:val="008E505F"/>
    <w:rsid w:val="008E642A"/>
    <w:rsid w:val="008F3688"/>
    <w:rsid w:val="009041C5"/>
    <w:rsid w:val="009211C3"/>
    <w:rsid w:val="00962939"/>
    <w:rsid w:val="009727C3"/>
    <w:rsid w:val="0097561B"/>
    <w:rsid w:val="009A09D0"/>
    <w:rsid w:val="00A01F41"/>
    <w:rsid w:val="00A075E1"/>
    <w:rsid w:val="00A12C1C"/>
    <w:rsid w:val="00A14FC2"/>
    <w:rsid w:val="00A1575B"/>
    <w:rsid w:val="00A20407"/>
    <w:rsid w:val="00A251A1"/>
    <w:rsid w:val="00A4018D"/>
    <w:rsid w:val="00A47FF8"/>
    <w:rsid w:val="00A953C2"/>
    <w:rsid w:val="00A96535"/>
    <w:rsid w:val="00A975C7"/>
    <w:rsid w:val="00AB47C0"/>
    <w:rsid w:val="00AC1DC4"/>
    <w:rsid w:val="00B00D56"/>
    <w:rsid w:val="00B143AA"/>
    <w:rsid w:val="00B45457"/>
    <w:rsid w:val="00B470ED"/>
    <w:rsid w:val="00B526C2"/>
    <w:rsid w:val="00B930E0"/>
    <w:rsid w:val="00B94C33"/>
    <w:rsid w:val="00B96D25"/>
    <w:rsid w:val="00BC1FE3"/>
    <w:rsid w:val="00C0282A"/>
    <w:rsid w:val="00C40F57"/>
    <w:rsid w:val="00C506C7"/>
    <w:rsid w:val="00C63017"/>
    <w:rsid w:val="00C74C0E"/>
    <w:rsid w:val="00CA6CD4"/>
    <w:rsid w:val="00CA729D"/>
    <w:rsid w:val="00CB68AA"/>
    <w:rsid w:val="00CC599D"/>
    <w:rsid w:val="00D04751"/>
    <w:rsid w:val="00D24E6E"/>
    <w:rsid w:val="00D4217E"/>
    <w:rsid w:val="00D6688F"/>
    <w:rsid w:val="00D9403A"/>
    <w:rsid w:val="00D9545B"/>
    <w:rsid w:val="00DC483F"/>
    <w:rsid w:val="00DD7728"/>
    <w:rsid w:val="00E0211B"/>
    <w:rsid w:val="00E22D85"/>
    <w:rsid w:val="00E55D5E"/>
    <w:rsid w:val="00E66CC3"/>
    <w:rsid w:val="00EA0226"/>
    <w:rsid w:val="00EC6AEB"/>
    <w:rsid w:val="00ED6D8B"/>
    <w:rsid w:val="00EF4A05"/>
    <w:rsid w:val="00F005A1"/>
    <w:rsid w:val="00F07ECF"/>
    <w:rsid w:val="00F4137A"/>
    <w:rsid w:val="00F43D51"/>
    <w:rsid w:val="00F53660"/>
    <w:rsid w:val="00F7491B"/>
    <w:rsid w:val="00F8192E"/>
    <w:rsid w:val="00F93A1F"/>
    <w:rsid w:val="00F94537"/>
    <w:rsid w:val="00FA4568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8659"/>
  <w15:chartTrackingRefBased/>
  <w15:docId w15:val="{BBD12C22-7C8B-4BB3-BC1F-EF71AEEC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407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qFormat/>
    <w:rsid w:val="0004672E"/>
    <w:pPr>
      <w:widowControl w:val="0"/>
      <w:tabs>
        <w:tab w:val="left" w:pos="426"/>
      </w:tabs>
      <w:spacing w:before="400" w:after="40"/>
      <w:ind w:left="431" w:hanging="431"/>
      <w:outlineLvl w:val="0"/>
    </w:pPr>
    <w:rPr>
      <w:rFonts w:ascii="Gill Sans MT" w:eastAsia="ヒラギノ角ゴ Pro W3" w:hAnsi="Gill Sans MT" w:cs="Arial"/>
      <w:color w:val="3E6575"/>
      <w:sz w:val="36"/>
      <w:szCs w:val="36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00D56"/>
    <w:pPr>
      <w:keepNext/>
      <w:widowControl w:val="0"/>
      <w:tabs>
        <w:tab w:val="left" w:pos="567"/>
      </w:tabs>
      <w:autoSpaceDE w:val="0"/>
      <w:autoSpaceDN w:val="0"/>
      <w:adjustRightInd w:val="0"/>
      <w:spacing w:before="240" w:after="80" w:line="320" w:lineRule="exact"/>
      <w:ind w:left="576" w:hanging="576"/>
      <w:outlineLvl w:val="1"/>
    </w:pPr>
    <w:rPr>
      <w:rFonts w:ascii="Gill Sans MT" w:eastAsia="ヒラギノ角ゴ Pro W3" w:hAnsi="Gill Sans MT" w:cs="Arial"/>
      <w:b/>
      <w:color w:val="3E6575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14FC2"/>
    <w:pPr>
      <w:spacing w:before="100" w:line="280" w:lineRule="atLeast"/>
      <w:jc w:val="both"/>
    </w:pPr>
    <w:rPr>
      <w:rFonts w:ascii="Palatino Linotype" w:hAnsi="Palatino Linotype" w:cs="Arial"/>
      <w:color w:val="444444"/>
      <w:sz w:val="20"/>
      <w:szCs w:val="20"/>
      <w:shd w:val="clear" w:color="auto" w:fill="FFFFFF"/>
    </w:rPr>
  </w:style>
  <w:style w:type="character" w:styleId="Enfasigrassetto">
    <w:name w:val="Strong"/>
    <w:basedOn w:val="Carpredefinitoparagrafo"/>
    <w:uiPriority w:val="22"/>
    <w:qFormat/>
    <w:rsid w:val="00A20407"/>
    <w:rPr>
      <w:b/>
      <w:bCs/>
    </w:rPr>
  </w:style>
  <w:style w:type="character" w:styleId="Enfasicorsivo">
    <w:name w:val="Emphasis"/>
    <w:basedOn w:val="Carpredefinitoparagrafo"/>
    <w:uiPriority w:val="20"/>
    <w:qFormat/>
    <w:rsid w:val="000F1AF8"/>
    <w:rPr>
      <w:i/>
      <w:iCs/>
    </w:rPr>
  </w:style>
  <w:style w:type="paragraph" w:styleId="Titolo">
    <w:name w:val="Title"/>
    <w:basedOn w:val="Normale"/>
    <w:next w:val="Normale"/>
    <w:link w:val="TitoloCarattere"/>
    <w:uiPriority w:val="10"/>
    <w:qFormat/>
    <w:rsid w:val="00273C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73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rsid w:val="0004672E"/>
    <w:rPr>
      <w:rFonts w:ascii="Gill Sans MT" w:eastAsia="ヒラギノ角ゴ Pro W3" w:hAnsi="Gill Sans MT" w:cs="Arial"/>
      <w:color w:val="3E6575"/>
      <w:sz w:val="36"/>
      <w:szCs w:val="3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B00D56"/>
    <w:rPr>
      <w:rFonts w:ascii="Gill Sans MT" w:eastAsia="ヒラギノ角ゴ Pro W3" w:hAnsi="Gill Sans MT" w:cs="Arial"/>
      <w:b/>
      <w:color w:val="3E6575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B00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00D56"/>
    <w:rPr>
      <w:color w:val="0000FF"/>
      <w:u w:val="single"/>
    </w:rPr>
  </w:style>
  <w:style w:type="paragraph" w:styleId="Sommario1">
    <w:name w:val="toc 1"/>
    <w:basedOn w:val="Normale"/>
    <w:next w:val="Normale"/>
    <w:autoRedefine/>
    <w:uiPriority w:val="39"/>
    <w:unhideWhenUsed/>
    <w:rsid w:val="00FE6D62"/>
    <w:pPr>
      <w:tabs>
        <w:tab w:val="left" w:pos="440"/>
        <w:tab w:val="right" w:leader="dot" w:pos="9628"/>
      </w:tabs>
      <w:spacing w:after="100"/>
    </w:pPr>
    <w:rPr>
      <w:rFonts w:ascii="Gill Sans MT" w:eastAsia="ヒラギノ角ゴ Pro W3" w:hAnsi="Gill Sans MT" w:cs="Arial"/>
      <w:noProof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1D2A97"/>
    <w:pPr>
      <w:tabs>
        <w:tab w:val="left" w:pos="993"/>
        <w:tab w:val="right" w:leader="dot" w:pos="9202"/>
      </w:tabs>
      <w:spacing w:after="100"/>
    </w:pPr>
    <w:rPr>
      <w:rFonts w:ascii="Gill Sans MT" w:hAnsi="Gill Sans MT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66504"/>
    <w:pPr>
      <w:spacing w:after="100"/>
      <w:ind w:left="440"/>
    </w:pPr>
    <w:rPr>
      <w:rFonts w:ascii="Gill Sans MT" w:hAnsi="Gill Sans MT"/>
      <w:i/>
    </w:rPr>
  </w:style>
  <w:style w:type="paragraph" w:styleId="Testonotaapidipagina">
    <w:name w:val="footnote text"/>
    <w:basedOn w:val="Normale"/>
    <w:link w:val="TestonotaapidipaginaCarattere"/>
    <w:semiHidden/>
    <w:rsid w:val="002E5082"/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5082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2E508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E6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42A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8E6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42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C80E37B4B4AD4B97B8CD421549BD3A" ma:contentTypeVersion="3" ma:contentTypeDescription="Creare un nuovo documento." ma:contentTypeScope="" ma:versionID="800449954fb898a3ca9c90f6f9a0181e">
  <xsd:schema xmlns:xsd="http://www.w3.org/2001/XMLSchema" xmlns:xs="http://www.w3.org/2001/XMLSchema" xmlns:p="http://schemas.microsoft.com/office/2006/metadata/properties" xmlns:ns2="c22356a3-9dea-4748-bedd-e71369df80fd" targetNamespace="http://schemas.microsoft.com/office/2006/metadata/properties" ma:root="true" ma:fieldsID="63d382bb3136ac19b8511ee8e2daa406" ns2:_="">
    <xsd:import namespace="c22356a3-9dea-4748-bedd-e71369df8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356a3-9dea-4748-bedd-e71369df8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82318-D628-4CD1-A593-B90ECBB82F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D0F6E-CD99-45DF-853B-44E826D0C6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B3AE5-AD72-45E6-80C4-C632E2A53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356a3-9dea-4748-bedd-e71369df8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FE7E9C-590B-4EAD-8E9D-E926E6CC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Villa Giuliana</dc:creator>
  <cp:keywords/>
  <dc:description/>
  <cp:lastModifiedBy>Da Villa Giuliana</cp:lastModifiedBy>
  <cp:revision>22</cp:revision>
  <cp:lastPrinted>2022-09-28T08:43:00Z</cp:lastPrinted>
  <dcterms:created xsi:type="dcterms:W3CDTF">2022-06-09T14:22:00Z</dcterms:created>
  <dcterms:modified xsi:type="dcterms:W3CDTF">2023-08-25T11:37:00Z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0x01010029C80E37B4B4AD4B97B8CD421549BD3A</vt:lpwstr>
  </property>
  <property fmtid="{D5CDD505-2E9C-101B-9397-08002B2CF9AE}" pid="3" name="Order">
    <vt:r8>12978000</vt:r8>
  </property>
</Properties>
</file>